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33" w:rsidRDefault="007D4C33" w:rsidP="007D4C33">
      <w:pPr>
        <w:pStyle w:val="En-tte"/>
        <w:pBdr>
          <w:top w:val="single" w:sz="12" w:space="1" w:color="356697"/>
          <w:left w:val="single" w:sz="12" w:space="4" w:color="356697"/>
          <w:bottom w:val="single" w:sz="12" w:space="1" w:color="356697"/>
          <w:right w:val="single" w:sz="12" w:space="4" w:color="356697"/>
        </w:pBdr>
        <w:tabs>
          <w:tab w:val="clear" w:pos="4536"/>
          <w:tab w:val="clear" w:pos="9072"/>
          <w:tab w:val="left" w:pos="0"/>
        </w:tabs>
        <w:jc w:val="center"/>
        <w:rPr>
          <w:rFonts w:ascii="Arial" w:hAnsi="Arial"/>
          <w:b/>
          <w:color w:val="336699"/>
          <w:szCs w:val="24"/>
        </w:rPr>
      </w:pPr>
      <w:r>
        <w:rPr>
          <w:rFonts w:ascii="Arial" w:hAnsi="Arial"/>
          <w:b/>
          <w:color w:val="336699"/>
          <w:szCs w:val="24"/>
        </w:rPr>
        <w:t xml:space="preserve">PROTECTION SOCIALE COMPLÉMENTAIRE DES AGENTS </w:t>
      </w:r>
      <w:r w:rsidR="00A47F5F">
        <w:rPr>
          <w:rFonts w:ascii="Arial" w:hAnsi="Arial"/>
          <w:b/>
          <w:color w:val="336699"/>
          <w:szCs w:val="24"/>
        </w:rPr>
        <w:t>PUBLICS</w:t>
      </w:r>
    </w:p>
    <w:p w:rsidR="002F2F81" w:rsidRDefault="00A47F5F" w:rsidP="007D4C33">
      <w:pPr>
        <w:pStyle w:val="En-tte"/>
        <w:pBdr>
          <w:top w:val="single" w:sz="12" w:space="1" w:color="356697"/>
          <w:left w:val="single" w:sz="12" w:space="4" w:color="356697"/>
          <w:bottom w:val="single" w:sz="12" w:space="1" w:color="356697"/>
          <w:right w:val="single" w:sz="12" w:space="4" w:color="356697"/>
        </w:pBdr>
        <w:tabs>
          <w:tab w:val="clear" w:pos="4536"/>
          <w:tab w:val="clear" w:pos="9072"/>
          <w:tab w:val="left" w:pos="0"/>
        </w:tabs>
        <w:jc w:val="center"/>
        <w:rPr>
          <w:rFonts w:ascii="Arial" w:hAnsi="Arial"/>
          <w:b/>
          <w:color w:val="336699"/>
          <w:szCs w:val="24"/>
        </w:rPr>
      </w:pPr>
      <w:r>
        <w:rPr>
          <w:rFonts w:ascii="Arial" w:hAnsi="Arial"/>
          <w:b/>
          <w:color w:val="336699"/>
          <w:szCs w:val="24"/>
        </w:rPr>
        <w:t>Dispositifs en vigueur</w:t>
      </w:r>
    </w:p>
    <w:p w:rsidR="007D4C33" w:rsidRDefault="007D4C33" w:rsidP="007D4C33">
      <w:pPr>
        <w:pStyle w:val="En-tte"/>
        <w:pBdr>
          <w:top w:val="single" w:sz="12" w:space="1" w:color="356697"/>
          <w:left w:val="single" w:sz="12" w:space="4" w:color="356697"/>
          <w:bottom w:val="single" w:sz="12" w:space="1" w:color="356697"/>
          <w:right w:val="single" w:sz="12" w:space="4" w:color="356697"/>
        </w:pBdr>
        <w:tabs>
          <w:tab w:val="clear" w:pos="4536"/>
          <w:tab w:val="clear" w:pos="9072"/>
          <w:tab w:val="left" w:pos="0"/>
        </w:tabs>
        <w:jc w:val="center"/>
        <w:rPr>
          <w:rFonts w:ascii="Arial" w:hAnsi="Arial"/>
          <w:b/>
          <w:color w:val="336699"/>
          <w:szCs w:val="24"/>
        </w:rPr>
      </w:pPr>
      <w:r>
        <w:rPr>
          <w:rFonts w:ascii="Arial" w:hAnsi="Arial"/>
          <w:b/>
          <w:color w:val="336699"/>
          <w:szCs w:val="24"/>
        </w:rPr>
        <w:t>--</w:t>
      </w:r>
    </w:p>
    <w:p w:rsidR="007D4C33" w:rsidRPr="006F17E5" w:rsidRDefault="004E77CB" w:rsidP="007D4C33">
      <w:pPr>
        <w:pStyle w:val="En-tte"/>
        <w:pBdr>
          <w:top w:val="single" w:sz="12" w:space="1" w:color="356697"/>
          <w:left w:val="single" w:sz="12" w:space="4" w:color="356697"/>
          <w:bottom w:val="single" w:sz="12" w:space="1" w:color="356697"/>
          <w:right w:val="single" w:sz="12" w:space="4" w:color="356697"/>
        </w:pBdr>
        <w:tabs>
          <w:tab w:val="clear" w:pos="4536"/>
          <w:tab w:val="clear" w:pos="9072"/>
          <w:tab w:val="left" w:pos="0"/>
        </w:tabs>
        <w:jc w:val="center"/>
        <w:rPr>
          <w:rFonts w:ascii="Arial" w:hAnsi="Arial"/>
          <w:b/>
          <w:color w:val="336699"/>
          <w:szCs w:val="24"/>
        </w:rPr>
      </w:pPr>
      <w:r>
        <w:rPr>
          <w:rFonts w:ascii="Arial" w:hAnsi="Arial"/>
          <w:b/>
          <w:color w:val="336699"/>
          <w:szCs w:val="24"/>
        </w:rPr>
        <w:t xml:space="preserve">Groupe de travail </w:t>
      </w:r>
      <w:r w:rsidR="007D4C33">
        <w:rPr>
          <w:rFonts w:ascii="Arial" w:hAnsi="Arial"/>
          <w:b/>
          <w:color w:val="336699"/>
          <w:szCs w:val="24"/>
        </w:rPr>
        <w:t xml:space="preserve">du </w:t>
      </w:r>
      <w:r w:rsidR="00A47F5F">
        <w:rPr>
          <w:rFonts w:ascii="Arial" w:hAnsi="Arial"/>
          <w:b/>
          <w:color w:val="336699"/>
          <w:szCs w:val="24"/>
        </w:rPr>
        <w:t>9</w:t>
      </w:r>
      <w:r w:rsidR="007D4C33">
        <w:rPr>
          <w:rFonts w:ascii="Arial" w:hAnsi="Arial"/>
          <w:b/>
          <w:color w:val="336699"/>
          <w:szCs w:val="24"/>
        </w:rPr>
        <w:t xml:space="preserve"> </w:t>
      </w:r>
      <w:r w:rsidR="00A47F5F">
        <w:rPr>
          <w:rFonts w:ascii="Arial" w:hAnsi="Arial"/>
          <w:b/>
          <w:color w:val="336699"/>
          <w:szCs w:val="24"/>
        </w:rPr>
        <w:t>mars 2017</w:t>
      </w:r>
    </w:p>
    <w:p w:rsidR="007D4C33" w:rsidRDefault="007D4C33" w:rsidP="007D1DA7">
      <w:pPr>
        <w:pStyle w:val="En-tte"/>
        <w:tabs>
          <w:tab w:val="clear" w:pos="4536"/>
          <w:tab w:val="clear" w:pos="9072"/>
          <w:tab w:val="left" w:pos="0"/>
        </w:tabs>
        <w:rPr>
          <w:rFonts w:ascii="Arial" w:hAnsi="Arial"/>
          <w:sz w:val="20"/>
        </w:rPr>
      </w:pPr>
    </w:p>
    <w:p w:rsidR="007D4C33" w:rsidRPr="006F17E5" w:rsidRDefault="007D4C33" w:rsidP="007D1DA7">
      <w:pPr>
        <w:pStyle w:val="En-tte"/>
        <w:tabs>
          <w:tab w:val="clear" w:pos="4536"/>
          <w:tab w:val="clear" w:pos="9072"/>
          <w:tab w:val="left" w:pos="0"/>
        </w:tabs>
        <w:rPr>
          <w:rFonts w:ascii="Arial" w:hAnsi="Arial"/>
          <w:sz w:val="20"/>
        </w:rPr>
      </w:pPr>
    </w:p>
    <w:p w:rsidR="007D1DA7" w:rsidRPr="006F17E5" w:rsidRDefault="007D4C33" w:rsidP="007D4589">
      <w:pPr>
        <w:pStyle w:val="En-tte"/>
        <w:pBdr>
          <w:bottom w:val="single" w:sz="6" w:space="1" w:color="336699"/>
        </w:pBdr>
        <w:tabs>
          <w:tab w:val="clear" w:pos="4536"/>
          <w:tab w:val="clear" w:pos="9072"/>
          <w:tab w:val="left" w:pos="0"/>
        </w:tabs>
        <w:rPr>
          <w:rFonts w:ascii="Arial" w:hAnsi="Arial"/>
          <w:b/>
          <w:color w:val="336699"/>
          <w:sz w:val="20"/>
        </w:rPr>
      </w:pPr>
      <w:r>
        <w:rPr>
          <w:rFonts w:ascii="Arial" w:hAnsi="Arial"/>
          <w:b/>
          <w:color w:val="336699"/>
          <w:sz w:val="20"/>
        </w:rPr>
        <w:t xml:space="preserve">I. Rappels </w:t>
      </w:r>
      <w:r w:rsidR="001F450A">
        <w:rPr>
          <w:rFonts w:ascii="Arial" w:hAnsi="Arial"/>
          <w:b/>
          <w:color w:val="336699"/>
          <w:sz w:val="20"/>
        </w:rPr>
        <w:t>historiques</w:t>
      </w:r>
      <w:bookmarkStart w:id="0" w:name="_GoBack"/>
      <w:bookmarkEnd w:id="0"/>
    </w:p>
    <w:p w:rsidR="007D1DA7" w:rsidRPr="006F17E5" w:rsidRDefault="007D1DA7" w:rsidP="007D1DA7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</w:p>
    <w:p w:rsidR="00FF0548" w:rsidRDefault="007D4C33" w:rsidP="007D1DA7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 dispositif de référencement répond à une situation d’urgence après </w:t>
      </w:r>
      <w:r w:rsidRPr="00C76435">
        <w:rPr>
          <w:rFonts w:ascii="Arial" w:hAnsi="Arial"/>
          <w:b/>
          <w:sz w:val="20"/>
        </w:rPr>
        <w:t>la remise en cause</w:t>
      </w:r>
      <w:r w:rsidR="00FF0548" w:rsidRPr="00C76435">
        <w:rPr>
          <w:rFonts w:ascii="Arial" w:hAnsi="Arial"/>
          <w:b/>
          <w:sz w:val="20"/>
        </w:rPr>
        <w:t xml:space="preserve"> de l’ancien dispositif dit « arrêté Chazelle »</w:t>
      </w:r>
      <w:r w:rsidR="00FF0548">
        <w:rPr>
          <w:rFonts w:ascii="Arial" w:hAnsi="Arial"/>
          <w:sz w:val="20"/>
        </w:rPr>
        <w:t> :</w:t>
      </w:r>
    </w:p>
    <w:p w:rsidR="00FF0548" w:rsidRDefault="00FF0548" w:rsidP="00FF0548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d’une part</w:t>
      </w:r>
      <w:r w:rsidR="00E54552">
        <w:rPr>
          <w:rFonts w:ascii="Arial" w:hAnsi="Arial"/>
          <w:sz w:val="20"/>
        </w:rPr>
        <w:t>,</w:t>
      </w:r>
      <w:r w:rsidR="007D4C33">
        <w:rPr>
          <w:rFonts w:ascii="Arial" w:hAnsi="Arial"/>
          <w:sz w:val="20"/>
        </w:rPr>
        <w:t xml:space="preserve"> </w:t>
      </w:r>
      <w:r w:rsidR="007D4C33" w:rsidRPr="0070523C">
        <w:rPr>
          <w:rFonts w:ascii="Arial" w:hAnsi="Arial"/>
          <w:b/>
          <w:sz w:val="20"/>
        </w:rPr>
        <w:t>en droit interne</w:t>
      </w:r>
      <w:r>
        <w:rPr>
          <w:rFonts w:ascii="Arial" w:hAnsi="Arial"/>
          <w:sz w:val="20"/>
        </w:rPr>
        <w:t>, au regard du principe d’égalité, parce que ce dispositif réservait la subvention de l’employeur public aux seules mutuelles de fonctionnaires ;</w:t>
      </w:r>
    </w:p>
    <w:p w:rsidR="00FF0548" w:rsidRDefault="00FF0548" w:rsidP="00FF0548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d’autre part, </w:t>
      </w:r>
      <w:r w:rsidRPr="0070523C">
        <w:rPr>
          <w:rFonts w:ascii="Arial" w:hAnsi="Arial"/>
          <w:b/>
          <w:sz w:val="20"/>
        </w:rPr>
        <w:t>en droit européen en matière d’aides d’État</w:t>
      </w:r>
      <w:r>
        <w:rPr>
          <w:rFonts w:ascii="Arial" w:hAnsi="Arial"/>
          <w:sz w:val="20"/>
        </w:rPr>
        <w:t>, parce que ce dispositif prévoy</w:t>
      </w:r>
      <w:r w:rsidR="00790033">
        <w:rPr>
          <w:rFonts w:ascii="Arial" w:hAnsi="Arial"/>
          <w:sz w:val="20"/>
        </w:rPr>
        <w:t>ait une aide non notifiée à la C</w:t>
      </w:r>
      <w:r>
        <w:rPr>
          <w:rFonts w:ascii="Arial" w:hAnsi="Arial"/>
          <w:sz w:val="20"/>
        </w:rPr>
        <w:t xml:space="preserve">ommission européenne à </w:t>
      </w:r>
      <w:r w:rsidR="00790033">
        <w:rPr>
          <w:rFonts w:ascii="Arial" w:hAnsi="Arial"/>
          <w:sz w:val="20"/>
        </w:rPr>
        <w:t>une seule catégorie d’</w:t>
      </w:r>
      <w:r>
        <w:rPr>
          <w:rFonts w:ascii="Arial" w:hAnsi="Arial"/>
          <w:sz w:val="20"/>
        </w:rPr>
        <w:t>organismes évoluant dans un secteur concurrentiel. La Commission européenne avait toutefois conclu qu’un dispositif d’aide était compatible avec les règles relatives aux aides d’État à la condition qu’elle ait un caractère social, qu’elle bénéficie au consommateur final et qu’elle soit attribuée sans distinction de l’origine du produit.</w:t>
      </w:r>
    </w:p>
    <w:p w:rsidR="007D4C33" w:rsidRDefault="007D4C33" w:rsidP="007D1DA7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</w:p>
    <w:p w:rsidR="001F450A" w:rsidRDefault="00C76435" w:rsidP="007D1DA7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Ainsi,</w:t>
      </w:r>
      <w:r w:rsidR="0070523C">
        <w:rPr>
          <w:rFonts w:ascii="Arial" w:hAnsi="Arial"/>
          <w:sz w:val="20"/>
        </w:rPr>
        <w:t xml:space="preserve"> l’a</w:t>
      </w:r>
      <w:r w:rsidR="0070523C" w:rsidRPr="0070523C">
        <w:rPr>
          <w:rFonts w:ascii="Arial" w:hAnsi="Arial"/>
          <w:sz w:val="20"/>
        </w:rPr>
        <w:t>rticle 39</w:t>
      </w:r>
      <w:r w:rsidR="0070523C">
        <w:rPr>
          <w:rFonts w:ascii="Arial" w:hAnsi="Arial"/>
          <w:sz w:val="20"/>
        </w:rPr>
        <w:t xml:space="preserve"> de</w:t>
      </w:r>
      <w:r w:rsidR="0070523C" w:rsidRPr="0070523C">
        <w:rPr>
          <w:rFonts w:ascii="Arial" w:hAnsi="Arial"/>
          <w:sz w:val="20"/>
        </w:rPr>
        <w:t xml:space="preserve"> </w:t>
      </w:r>
      <w:r w:rsidR="0070523C">
        <w:rPr>
          <w:rFonts w:ascii="Arial" w:hAnsi="Arial"/>
          <w:sz w:val="20"/>
        </w:rPr>
        <w:t>la l</w:t>
      </w:r>
      <w:r w:rsidR="0070523C" w:rsidRPr="0070523C">
        <w:rPr>
          <w:rFonts w:ascii="Arial" w:hAnsi="Arial"/>
          <w:sz w:val="20"/>
        </w:rPr>
        <w:t xml:space="preserve">oi du 2 février 2007 </w:t>
      </w:r>
      <w:r w:rsidR="0070523C" w:rsidRPr="0070523C">
        <w:rPr>
          <w:rFonts w:ascii="Arial" w:hAnsi="Arial"/>
          <w:i/>
          <w:sz w:val="20"/>
        </w:rPr>
        <w:t>de modernisation de la fonction publique</w:t>
      </w:r>
      <w:r w:rsidR="0070523C" w:rsidRPr="0070523C">
        <w:rPr>
          <w:rFonts w:ascii="Arial" w:hAnsi="Arial"/>
          <w:sz w:val="20"/>
        </w:rPr>
        <w:t xml:space="preserve"> </w:t>
      </w:r>
      <w:r w:rsidR="0070523C">
        <w:rPr>
          <w:rFonts w:ascii="Arial" w:hAnsi="Arial"/>
          <w:sz w:val="20"/>
        </w:rPr>
        <w:t xml:space="preserve">a introduit un </w:t>
      </w:r>
      <w:r w:rsidR="004E77CB">
        <w:rPr>
          <w:rFonts w:ascii="Arial" w:hAnsi="Arial"/>
          <w:sz w:val="20"/>
        </w:rPr>
        <w:t>article 22 </w:t>
      </w:r>
      <w:r w:rsidR="007D4C33">
        <w:rPr>
          <w:rFonts w:ascii="Arial" w:hAnsi="Arial"/>
          <w:sz w:val="20"/>
        </w:rPr>
        <w:t>bis d</w:t>
      </w:r>
      <w:r w:rsidR="0070523C">
        <w:rPr>
          <w:rFonts w:ascii="Arial" w:hAnsi="Arial"/>
          <w:sz w:val="20"/>
        </w:rPr>
        <w:t>ans l</w:t>
      </w:r>
      <w:r w:rsidR="007D4C33">
        <w:rPr>
          <w:rFonts w:ascii="Arial" w:hAnsi="Arial"/>
          <w:sz w:val="20"/>
        </w:rPr>
        <w:t xml:space="preserve">a loi du 13 juillet 1983 </w:t>
      </w:r>
      <w:r w:rsidR="0070523C">
        <w:rPr>
          <w:rFonts w:ascii="Arial" w:hAnsi="Arial"/>
          <w:sz w:val="20"/>
        </w:rPr>
        <w:t>pour permettre</w:t>
      </w:r>
      <w:r w:rsidR="007D4C33">
        <w:rPr>
          <w:rFonts w:ascii="Arial" w:hAnsi="Arial"/>
          <w:sz w:val="20"/>
        </w:rPr>
        <w:t xml:space="preserve"> aux employeurs publics de participer financièrement à la protection sociale complémentaire de leurs agents.</w:t>
      </w:r>
    </w:p>
    <w:p w:rsidR="001F450A" w:rsidRDefault="001F450A" w:rsidP="007D1DA7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Les modalités d’application de cette </w:t>
      </w:r>
      <w:r w:rsidR="00A47F5F">
        <w:rPr>
          <w:rFonts w:ascii="Arial" w:hAnsi="Arial"/>
          <w:sz w:val="20"/>
        </w:rPr>
        <w:t>disposition</w:t>
      </w:r>
      <w:r>
        <w:rPr>
          <w:rFonts w:ascii="Arial" w:hAnsi="Arial"/>
          <w:sz w:val="20"/>
        </w:rPr>
        <w:t xml:space="preserve"> ont donné lieu à trois décret</w:t>
      </w:r>
      <w:r w:rsidR="00A47F5F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d’application</w:t>
      </w:r>
      <w:r w:rsidR="00A47F5F">
        <w:rPr>
          <w:rFonts w:ascii="Arial" w:hAnsi="Arial"/>
          <w:sz w:val="20"/>
        </w:rPr>
        <w:t xml:space="preserve"> : </w:t>
      </w:r>
      <w:r>
        <w:rPr>
          <w:rFonts w:ascii="Arial" w:hAnsi="Arial"/>
          <w:sz w:val="20"/>
        </w:rPr>
        <w:t>un pour la fonction publique de l’État, un pour la fonction publique territoriale</w:t>
      </w:r>
      <w:r w:rsidR="004E77CB">
        <w:rPr>
          <w:rFonts w:ascii="Arial" w:hAnsi="Arial"/>
          <w:sz w:val="20"/>
        </w:rPr>
        <w:t>, un</w:t>
      </w:r>
      <w:r>
        <w:rPr>
          <w:rFonts w:ascii="Arial" w:hAnsi="Arial"/>
          <w:sz w:val="20"/>
        </w:rPr>
        <w:t xml:space="preserve"> pour la fonction militaire.</w:t>
      </w:r>
    </w:p>
    <w:p w:rsidR="001F450A" w:rsidRDefault="001F450A" w:rsidP="007D1DA7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</w:p>
    <w:p w:rsidR="001F450A" w:rsidRPr="006F17E5" w:rsidRDefault="001F450A" w:rsidP="001F450A">
      <w:pPr>
        <w:pStyle w:val="En-tte"/>
        <w:tabs>
          <w:tab w:val="clear" w:pos="4536"/>
          <w:tab w:val="clear" w:pos="9072"/>
          <w:tab w:val="left" w:pos="0"/>
        </w:tabs>
        <w:rPr>
          <w:rFonts w:ascii="Arial" w:hAnsi="Arial"/>
          <w:sz w:val="20"/>
        </w:rPr>
      </w:pPr>
    </w:p>
    <w:p w:rsidR="001F450A" w:rsidRPr="006F17E5" w:rsidRDefault="001F450A" w:rsidP="001F450A">
      <w:pPr>
        <w:pStyle w:val="En-tte"/>
        <w:pBdr>
          <w:bottom w:val="single" w:sz="6" w:space="1" w:color="336699"/>
        </w:pBdr>
        <w:tabs>
          <w:tab w:val="clear" w:pos="4536"/>
          <w:tab w:val="clear" w:pos="9072"/>
          <w:tab w:val="left" w:pos="0"/>
        </w:tabs>
        <w:rPr>
          <w:rFonts w:ascii="Arial" w:hAnsi="Arial"/>
          <w:b/>
          <w:color w:val="336699"/>
          <w:sz w:val="20"/>
        </w:rPr>
      </w:pPr>
      <w:r>
        <w:rPr>
          <w:rFonts w:ascii="Arial" w:hAnsi="Arial"/>
          <w:b/>
          <w:color w:val="336699"/>
          <w:sz w:val="20"/>
        </w:rPr>
        <w:t>II. La Fonction publique de l’État : le référencement</w:t>
      </w:r>
    </w:p>
    <w:p w:rsidR="001F450A" w:rsidRPr="006F17E5" w:rsidRDefault="001F450A" w:rsidP="001F450A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</w:p>
    <w:p w:rsidR="007D4C33" w:rsidRDefault="007D4C33" w:rsidP="007D1DA7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 dispositif de référencement </w:t>
      </w:r>
      <w:r w:rsidR="00E202F6">
        <w:rPr>
          <w:rFonts w:ascii="Arial" w:hAnsi="Arial"/>
          <w:sz w:val="20"/>
        </w:rPr>
        <w:t xml:space="preserve">est fondé sur </w:t>
      </w:r>
      <w:r w:rsidR="00E202F6" w:rsidRPr="00C76435">
        <w:rPr>
          <w:rFonts w:ascii="Arial" w:hAnsi="Arial"/>
          <w:b/>
          <w:sz w:val="20"/>
        </w:rPr>
        <w:t>plusieurs principes</w:t>
      </w:r>
      <w:r w:rsidR="00E54552" w:rsidRPr="00C76435">
        <w:rPr>
          <w:rFonts w:ascii="Arial" w:hAnsi="Arial"/>
          <w:b/>
          <w:sz w:val="20"/>
        </w:rPr>
        <w:t xml:space="preserve"> visant à mettre en place un dispositif solidaire entre les bénéficiaires</w:t>
      </w:r>
      <w:r>
        <w:rPr>
          <w:rFonts w:ascii="Arial" w:hAnsi="Arial"/>
          <w:sz w:val="20"/>
        </w:rPr>
        <w:t> :</w:t>
      </w:r>
    </w:p>
    <w:p w:rsidR="00E202F6" w:rsidRDefault="00E202F6" w:rsidP="00E202F6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 w:rsidRPr="00C76435">
        <w:rPr>
          <w:rFonts w:ascii="Arial" w:hAnsi="Arial"/>
          <w:b/>
          <w:sz w:val="20"/>
        </w:rPr>
        <w:t>l’adhésion est facultative et ouverte à tous les agents publics</w:t>
      </w:r>
      <w:r>
        <w:rPr>
          <w:rFonts w:ascii="Arial" w:hAnsi="Arial"/>
          <w:sz w:val="20"/>
        </w:rPr>
        <w:t xml:space="preserve"> : fonctionnaires et contractuels de droit public, </w:t>
      </w:r>
      <w:r w:rsidRPr="00C76435">
        <w:rPr>
          <w:rFonts w:ascii="Arial" w:hAnsi="Arial"/>
          <w:b/>
          <w:sz w:val="20"/>
        </w:rPr>
        <w:t>actif</w:t>
      </w:r>
      <w:r w:rsidR="00C26BD6">
        <w:rPr>
          <w:rFonts w:ascii="Arial" w:hAnsi="Arial"/>
          <w:b/>
          <w:sz w:val="20"/>
        </w:rPr>
        <w:t>s</w:t>
      </w:r>
      <w:r w:rsidRPr="00C76435">
        <w:rPr>
          <w:rFonts w:ascii="Arial" w:hAnsi="Arial"/>
          <w:b/>
          <w:sz w:val="20"/>
        </w:rPr>
        <w:t xml:space="preserve"> comme retraité</w:t>
      </w:r>
      <w:r w:rsidR="00C26BD6">
        <w:rPr>
          <w:rFonts w:ascii="Arial" w:hAnsi="Arial"/>
          <w:b/>
          <w:sz w:val="20"/>
        </w:rPr>
        <w:t>s</w:t>
      </w:r>
      <w:r>
        <w:rPr>
          <w:rFonts w:ascii="Arial" w:hAnsi="Arial"/>
          <w:sz w:val="20"/>
        </w:rPr>
        <w:t> ;</w:t>
      </w:r>
    </w:p>
    <w:p w:rsidR="00E202F6" w:rsidRDefault="00E202F6" w:rsidP="00E202F6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 w:rsidRPr="00C76435">
        <w:rPr>
          <w:rFonts w:ascii="Arial" w:hAnsi="Arial"/>
          <w:b/>
          <w:sz w:val="20"/>
        </w:rPr>
        <w:t>tous les organismes du secteur de la protection sociale complémentaire</w:t>
      </w:r>
      <w:r>
        <w:rPr>
          <w:rFonts w:ascii="Arial" w:hAnsi="Arial"/>
          <w:sz w:val="20"/>
        </w:rPr>
        <w:t xml:space="preserve"> (mutuelles, entreprises d’assurance et institutions de prévoyance</w:t>
      </w:r>
      <w:r w:rsidRPr="00293835">
        <w:rPr>
          <w:rFonts w:ascii="Arial" w:hAnsi="Arial"/>
          <w:sz w:val="20"/>
        </w:rPr>
        <w:t xml:space="preserve">) </w:t>
      </w:r>
      <w:r w:rsidRPr="00C76435">
        <w:rPr>
          <w:rFonts w:ascii="Arial" w:hAnsi="Arial"/>
          <w:b/>
          <w:sz w:val="20"/>
        </w:rPr>
        <w:t>peuvent candidater</w:t>
      </w:r>
      <w:r>
        <w:rPr>
          <w:rFonts w:ascii="Arial" w:hAnsi="Arial"/>
          <w:sz w:val="20"/>
        </w:rPr>
        <w:t xml:space="preserve"> à la procédure de mise en concurrence</w:t>
      </w:r>
      <w:r w:rsidR="00293835">
        <w:rPr>
          <w:rFonts w:ascii="Arial" w:hAnsi="Arial"/>
          <w:sz w:val="20"/>
        </w:rPr>
        <w:t xml:space="preserve"> </w:t>
      </w:r>
      <w:r w:rsidR="00293835" w:rsidRPr="00293835">
        <w:rPr>
          <w:rFonts w:ascii="Arial" w:hAnsi="Arial"/>
          <w:i/>
          <w:sz w:val="20"/>
        </w:rPr>
        <w:t>ad hoc</w:t>
      </w:r>
      <w:r>
        <w:rPr>
          <w:rFonts w:ascii="Arial" w:hAnsi="Arial"/>
          <w:sz w:val="20"/>
        </w:rPr>
        <w:t xml:space="preserve"> qui garantit une </w:t>
      </w:r>
      <w:r w:rsidRPr="00C76435">
        <w:rPr>
          <w:rFonts w:ascii="Arial" w:hAnsi="Arial"/>
          <w:b/>
          <w:sz w:val="20"/>
        </w:rPr>
        <w:t>sélection sur la base de critère</w:t>
      </w:r>
      <w:r w:rsidR="004E77CB">
        <w:rPr>
          <w:rFonts w:ascii="Arial" w:hAnsi="Arial"/>
          <w:b/>
          <w:sz w:val="20"/>
        </w:rPr>
        <w:t>s</w:t>
      </w:r>
      <w:r w:rsidRPr="00C76435">
        <w:rPr>
          <w:rFonts w:ascii="Arial" w:hAnsi="Arial"/>
          <w:b/>
          <w:sz w:val="20"/>
        </w:rPr>
        <w:t xml:space="preserve"> transparent</w:t>
      </w:r>
      <w:r w:rsidR="004E77CB">
        <w:rPr>
          <w:rFonts w:ascii="Arial" w:hAnsi="Arial"/>
          <w:b/>
          <w:sz w:val="20"/>
        </w:rPr>
        <w:t>s</w:t>
      </w:r>
      <w:r w:rsidRPr="00C76435">
        <w:rPr>
          <w:rFonts w:ascii="Arial" w:hAnsi="Arial"/>
          <w:b/>
          <w:sz w:val="20"/>
        </w:rPr>
        <w:t xml:space="preserve"> et non-discriminatoires</w:t>
      </w:r>
      <w:r>
        <w:rPr>
          <w:rFonts w:ascii="Arial" w:hAnsi="Arial"/>
          <w:sz w:val="20"/>
        </w:rPr>
        <w:t> ;</w:t>
      </w:r>
    </w:p>
    <w:p w:rsidR="00E54552" w:rsidRDefault="00E202F6" w:rsidP="00E54552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l’offre de couverture complémentaire garantit une </w:t>
      </w:r>
      <w:r w:rsidRPr="00C76435">
        <w:rPr>
          <w:rFonts w:ascii="Arial" w:hAnsi="Arial"/>
          <w:b/>
          <w:sz w:val="20"/>
        </w:rPr>
        <w:t>couverture couplée des risques « santé » et « prévoyance »</w:t>
      </w:r>
      <w:r>
        <w:rPr>
          <w:rFonts w:ascii="Arial" w:hAnsi="Arial"/>
          <w:sz w:val="20"/>
        </w:rPr>
        <w:t>, c'est-à-dire que les garanties doivent impérativement couvrir les risques liés à l’atteinte de l’intégrité physique, les risques liés à la maternité, les risques liés à l’incapacité de travail ainsi qu</w:t>
      </w:r>
      <w:r w:rsidR="00E54552">
        <w:rPr>
          <w:rFonts w:ascii="Arial" w:hAnsi="Arial"/>
          <w:sz w:val="20"/>
        </w:rPr>
        <w:t>e,</w:t>
      </w:r>
      <w:r>
        <w:rPr>
          <w:rFonts w:ascii="Arial" w:hAnsi="Arial"/>
          <w:sz w:val="20"/>
        </w:rPr>
        <w:t xml:space="preserve"> tout ou partie</w:t>
      </w:r>
      <w:r w:rsidR="00E54552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des risques liés à l’invalidité et au décès.</w:t>
      </w:r>
    </w:p>
    <w:p w:rsidR="00E54552" w:rsidRDefault="00C26BD6" w:rsidP="00E54552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E202F6" w:rsidRPr="00E54552">
        <w:rPr>
          <w:rFonts w:ascii="Arial" w:hAnsi="Arial"/>
          <w:sz w:val="20"/>
        </w:rPr>
        <w:t xml:space="preserve">es </w:t>
      </w:r>
      <w:r w:rsidR="00E202F6" w:rsidRPr="00C76435">
        <w:rPr>
          <w:rFonts w:ascii="Arial" w:hAnsi="Arial"/>
          <w:b/>
          <w:sz w:val="20"/>
        </w:rPr>
        <w:t>garanties minimales</w:t>
      </w:r>
      <w:r w:rsidR="00E202F6" w:rsidRPr="00E54552">
        <w:rPr>
          <w:rFonts w:ascii="Arial" w:hAnsi="Arial"/>
          <w:sz w:val="20"/>
        </w:rPr>
        <w:t xml:space="preserve"> sont prévues</w:t>
      </w:r>
      <w:r w:rsidR="00E54552">
        <w:rPr>
          <w:rFonts w:ascii="Arial" w:hAnsi="Arial"/>
          <w:sz w:val="20"/>
        </w:rPr>
        <w:t> :</w:t>
      </w:r>
    </w:p>
    <w:p w:rsidR="00E54552" w:rsidRDefault="00E54552" w:rsidP="00E54552">
      <w:pPr>
        <w:pStyle w:val="En-tte"/>
        <w:numPr>
          <w:ilvl w:val="2"/>
          <w:numId w:val="1"/>
        </w:numPr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respect des règles du </w:t>
      </w:r>
      <w:r w:rsidRPr="00C76435">
        <w:rPr>
          <w:rFonts w:ascii="Arial" w:hAnsi="Arial"/>
          <w:b/>
          <w:sz w:val="20"/>
        </w:rPr>
        <w:t>contrat responsable</w:t>
      </w:r>
      <w:r>
        <w:rPr>
          <w:rFonts w:ascii="Arial" w:hAnsi="Arial"/>
          <w:sz w:val="20"/>
        </w:rPr>
        <w:t> ;</w:t>
      </w:r>
    </w:p>
    <w:p w:rsidR="00E54552" w:rsidRDefault="00E54552" w:rsidP="00E54552">
      <w:pPr>
        <w:pStyle w:val="En-tte"/>
        <w:numPr>
          <w:ilvl w:val="2"/>
          <w:numId w:val="1"/>
        </w:numPr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 couverture du risque lié à la </w:t>
      </w:r>
      <w:r w:rsidRPr="00C76435">
        <w:rPr>
          <w:rFonts w:ascii="Arial" w:hAnsi="Arial"/>
          <w:b/>
          <w:sz w:val="20"/>
        </w:rPr>
        <w:t>l’incapacité de travail garantit un revenu de remplacement au moins égal à 75 % du traitement brut indiciaire</w:t>
      </w:r>
      <w:r>
        <w:rPr>
          <w:rFonts w:ascii="Arial" w:hAnsi="Arial"/>
          <w:sz w:val="20"/>
        </w:rPr>
        <w:t> ;</w:t>
      </w:r>
    </w:p>
    <w:p w:rsidR="00C26BD6" w:rsidRPr="00A47F5F" w:rsidRDefault="00E54552" w:rsidP="00C26BD6">
      <w:pPr>
        <w:pStyle w:val="En-tte"/>
        <w:numPr>
          <w:ilvl w:val="2"/>
          <w:numId w:val="1"/>
        </w:numPr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 w:rsidRPr="00A47F5F">
        <w:rPr>
          <w:rFonts w:ascii="Arial" w:hAnsi="Arial"/>
          <w:sz w:val="20"/>
        </w:rPr>
        <w:t xml:space="preserve">la couverture des risques liés à </w:t>
      </w:r>
      <w:r w:rsidRPr="00A47F5F">
        <w:rPr>
          <w:rFonts w:ascii="Arial" w:hAnsi="Arial"/>
          <w:b/>
          <w:sz w:val="20"/>
        </w:rPr>
        <w:t>l’invalidité permanente et absolue et au décès garantit un capital égal à au moins 70 % du traitement indiciaire brut annuel</w:t>
      </w:r>
      <w:r w:rsidRPr="00A47F5F">
        <w:rPr>
          <w:rFonts w:ascii="Arial" w:hAnsi="Arial"/>
          <w:sz w:val="20"/>
        </w:rPr>
        <w:t>.</w:t>
      </w:r>
    </w:p>
    <w:p w:rsidR="00E202F6" w:rsidRDefault="00E202F6" w:rsidP="00E202F6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 référencement met en place des </w:t>
      </w:r>
      <w:r w:rsidRPr="00C76435">
        <w:rPr>
          <w:rFonts w:ascii="Arial" w:hAnsi="Arial"/>
          <w:b/>
          <w:sz w:val="20"/>
        </w:rPr>
        <w:t>mécanismes de solidarité</w:t>
      </w:r>
      <w:r>
        <w:rPr>
          <w:rFonts w:ascii="Arial" w:hAnsi="Arial"/>
          <w:sz w:val="20"/>
        </w:rPr>
        <w:t>, à savoir :</w:t>
      </w:r>
    </w:p>
    <w:p w:rsidR="00E202F6" w:rsidRDefault="00E202F6" w:rsidP="00E202F6">
      <w:pPr>
        <w:pStyle w:val="En-tte"/>
        <w:numPr>
          <w:ilvl w:val="2"/>
          <w:numId w:val="1"/>
        </w:numPr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 </w:t>
      </w:r>
      <w:r w:rsidRPr="00C76435">
        <w:rPr>
          <w:rFonts w:ascii="Arial" w:hAnsi="Arial"/>
          <w:b/>
          <w:sz w:val="20"/>
        </w:rPr>
        <w:t>rapport de 1 à 3</w:t>
      </w:r>
      <w:r>
        <w:rPr>
          <w:rFonts w:ascii="Arial" w:hAnsi="Arial"/>
          <w:sz w:val="20"/>
        </w:rPr>
        <w:t xml:space="preserve"> entre le montant de la cotisation la plus élevée et la moins élevée parmi les adhérents de plus de 30 ans ;</w:t>
      </w:r>
    </w:p>
    <w:p w:rsidR="00E202F6" w:rsidRDefault="00E202F6" w:rsidP="00E202F6">
      <w:pPr>
        <w:pStyle w:val="En-tte"/>
        <w:numPr>
          <w:ilvl w:val="2"/>
          <w:numId w:val="1"/>
        </w:numPr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 </w:t>
      </w:r>
      <w:r w:rsidRPr="00C76435">
        <w:rPr>
          <w:rFonts w:ascii="Arial" w:hAnsi="Arial"/>
          <w:b/>
          <w:sz w:val="20"/>
        </w:rPr>
        <w:t>tarif des familles nombreuses</w:t>
      </w:r>
      <w:r>
        <w:rPr>
          <w:rFonts w:ascii="Arial" w:hAnsi="Arial"/>
          <w:sz w:val="20"/>
        </w:rPr>
        <w:t xml:space="preserve"> est plafonné par le tarif des familles de</w:t>
      </w:r>
      <w:r w:rsidR="00C76435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3</w:t>
      </w:r>
      <w:r w:rsidR="00C76435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enfants ;</w:t>
      </w:r>
    </w:p>
    <w:p w:rsidR="00E202F6" w:rsidRDefault="00E202F6" w:rsidP="00E202F6">
      <w:pPr>
        <w:pStyle w:val="En-tte"/>
        <w:numPr>
          <w:ilvl w:val="2"/>
          <w:numId w:val="1"/>
        </w:numPr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 w:rsidRPr="00C76435">
        <w:rPr>
          <w:rFonts w:ascii="Arial" w:hAnsi="Arial"/>
          <w:b/>
          <w:sz w:val="20"/>
        </w:rPr>
        <w:t>aucune limite d’âge maximale à l’adhésion</w:t>
      </w:r>
      <w:r>
        <w:rPr>
          <w:rFonts w:ascii="Arial" w:hAnsi="Arial"/>
          <w:sz w:val="20"/>
        </w:rPr>
        <w:t xml:space="preserve"> ne peut être instaurée sauf majoration tarifaire en cas d’adhésion tardive et lorsque la moyenne d’âge est trop élevée et qu’il y a plusieurs organismes de référence ;</w:t>
      </w:r>
    </w:p>
    <w:p w:rsidR="00C76435" w:rsidRPr="00C76435" w:rsidRDefault="00E202F6" w:rsidP="00C76435">
      <w:pPr>
        <w:pStyle w:val="En-tte"/>
        <w:numPr>
          <w:ilvl w:val="2"/>
          <w:numId w:val="1"/>
        </w:numPr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 w:rsidRPr="00C76435">
        <w:rPr>
          <w:rFonts w:ascii="Arial" w:hAnsi="Arial"/>
          <w:b/>
          <w:sz w:val="20"/>
        </w:rPr>
        <w:t>la tarification ne peut être faite sur la base d’un questionnaire médical</w:t>
      </w:r>
      <w:r>
        <w:rPr>
          <w:rFonts w:ascii="Arial" w:hAnsi="Arial"/>
          <w:sz w:val="20"/>
        </w:rPr>
        <w:t xml:space="preserve"> sauf en cas d’adhésion postérieure à 5 ans d’ancienneté dans la fonction publique pour la couverture du risque « prévoyance ».</w:t>
      </w:r>
    </w:p>
    <w:p w:rsidR="00E202F6" w:rsidRDefault="00C76435" w:rsidP="00E202F6">
      <w:pPr>
        <w:pStyle w:val="En-tte"/>
        <w:tabs>
          <w:tab w:val="clear" w:pos="4536"/>
          <w:tab w:val="clear" w:pos="9072"/>
          <w:tab w:val="left" w:pos="1134"/>
        </w:tabs>
        <w:ind w:left="720"/>
        <w:rPr>
          <w:rFonts w:ascii="Arial" w:hAnsi="Arial"/>
          <w:sz w:val="20"/>
        </w:rPr>
      </w:pPr>
      <w:r w:rsidRPr="00C76435">
        <w:rPr>
          <w:rFonts w:ascii="Arial" w:hAnsi="Arial"/>
          <w:b/>
          <w:sz w:val="20"/>
        </w:rPr>
        <w:t>Ces mécanismes</w:t>
      </w:r>
      <w:r w:rsidR="00E202F6" w:rsidRPr="00C76435">
        <w:rPr>
          <w:rFonts w:ascii="Arial" w:hAnsi="Arial"/>
          <w:b/>
          <w:sz w:val="20"/>
        </w:rPr>
        <w:t xml:space="preserve"> sont contrôlés lors du versement de la participation financière qui est limitée au montant des transferts de solidarité</w:t>
      </w:r>
      <w:r w:rsidR="00E202F6">
        <w:rPr>
          <w:rFonts w:ascii="Arial" w:hAnsi="Arial"/>
          <w:sz w:val="20"/>
        </w:rPr>
        <w:t>, intergénérationnels et familiaux, effectivement mis en œuvre par l’organisme de référence.</w:t>
      </w:r>
    </w:p>
    <w:p w:rsidR="004E77CB" w:rsidRDefault="004E77CB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E54552" w:rsidRDefault="00E54552">
      <w:pPr>
        <w:jc w:val="left"/>
        <w:rPr>
          <w:rFonts w:ascii="Arial" w:hAnsi="Arial"/>
          <w:sz w:val="20"/>
        </w:rPr>
      </w:pPr>
    </w:p>
    <w:p w:rsidR="007D4589" w:rsidRPr="006F17E5" w:rsidRDefault="007D4C33" w:rsidP="007D4589">
      <w:pPr>
        <w:pStyle w:val="En-tte"/>
        <w:pBdr>
          <w:bottom w:val="single" w:sz="6" w:space="1" w:color="336699"/>
        </w:pBdr>
        <w:tabs>
          <w:tab w:val="clear" w:pos="4536"/>
          <w:tab w:val="clear" w:pos="9072"/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b/>
          <w:color w:val="336699"/>
          <w:sz w:val="20"/>
        </w:rPr>
        <w:t>I</w:t>
      </w:r>
      <w:r w:rsidR="001F450A">
        <w:rPr>
          <w:rFonts w:ascii="Arial" w:hAnsi="Arial"/>
          <w:b/>
          <w:color w:val="336699"/>
          <w:sz w:val="20"/>
        </w:rPr>
        <w:t>I</w:t>
      </w:r>
      <w:r>
        <w:rPr>
          <w:rFonts w:ascii="Arial" w:hAnsi="Arial"/>
          <w:b/>
          <w:color w:val="336699"/>
          <w:sz w:val="20"/>
        </w:rPr>
        <w:t>I. L</w:t>
      </w:r>
      <w:r w:rsidR="001F450A">
        <w:rPr>
          <w:rFonts w:ascii="Arial" w:hAnsi="Arial"/>
          <w:b/>
          <w:color w:val="336699"/>
          <w:sz w:val="20"/>
        </w:rPr>
        <w:t>a fonction publique territoriale : le conventionnement et la labellisation</w:t>
      </w:r>
    </w:p>
    <w:p w:rsidR="007D4589" w:rsidRPr="006F17E5" w:rsidRDefault="007D4589" w:rsidP="007D1DA7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</w:p>
    <w:p w:rsidR="00414E5A" w:rsidRDefault="004E2DCA" w:rsidP="004E2DCA">
      <w:pPr>
        <w:pStyle w:val="En-tte"/>
        <w:tabs>
          <w:tab w:val="left" w:pos="1134"/>
        </w:tabs>
        <w:rPr>
          <w:rFonts w:ascii="Arial" w:hAnsi="Arial"/>
          <w:sz w:val="20"/>
        </w:rPr>
      </w:pPr>
      <w:r w:rsidRPr="004E2DCA">
        <w:rPr>
          <w:rFonts w:ascii="Arial" w:hAnsi="Arial"/>
          <w:sz w:val="20"/>
        </w:rPr>
        <w:t>Le</w:t>
      </w:r>
      <w:r w:rsidR="00414E5A">
        <w:rPr>
          <w:rFonts w:ascii="Arial" w:hAnsi="Arial"/>
          <w:sz w:val="20"/>
        </w:rPr>
        <w:t>s</w:t>
      </w:r>
      <w:r w:rsidRPr="004E2DCA">
        <w:rPr>
          <w:rFonts w:ascii="Arial" w:hAnsi="Arial"/>
          <w:sz w:val="20"/>
        </w:rPr>
        <w:t xml:space="preserve"> collectivités et leurs établissements publics </w:t>
      </w:r>
      <w:r w:rsidR="00414E5A">
        <w:rPr>
          <w:rFonts w:ascii="Arial" w:hAnsi="Arial"/>
          <w:sz w:val="20"/>
        </w:rPr>
        <w:t>peuvent</w:t>
      </w:r>
      <w:r w:rsidRPr="004E2DCA">
        <w:rPr>
          <w:rFonts w:ascii="Arial" w:hAnsi="Arial"/>
          <w:sz w:val="20"/>
        </w:rPr>
        <w:t xml:space="preserve"> verser une aide à leurs agents (publics ou privés) qui souscrivent à des contrats ou règlements de protection sociale complémentaire (santé ou prévoyance) répond</w:t>
      </w:r>
      <w:r w:rsidR="00414E5A">
        <w:rPr>
          <w:rFonts w:ascii="Arial" w:hAnsi="Arial"/>
          <w:sz w:val="20"/>
        </w:rPr>
        <w:t>a</w:t>
      </w:r>
      <w:r w:rsidRPr="004E2DCA">
        <w:rPr>
          <w:rFonts w:ascii="Arial" w:hAnsi="Arial"/>
          <w:sz w:val="20"/>
        </w:rPr>
        <w:t>nt aux critères de solidarité du titre IV du décret</w:t>
      </w:r>
      <w:r w:rsidR="00414E5A">
        <w:rPr>
          <w:rFonts w:ascii="Arial" w:hAnsi="Arial"/>
          <w:sz w:val="20"/>
        </w:rPr>
        <w:t xml:space="preserve"> du 8 novembre 2011</w:t>
      </w:r>
      <w:r w:rsidRPr="004E2DCA">
        <w:rPr>
          <w:rFonts w:ascii="Arial" w:hAnsi="Arial"/>
          <w:sz w:val="20"/>
        </w:rPr>
        <w:t>.</w:t>
      </w:r>
    </w:p>
    <w:p w:rsidR="00414E5A" w:rsidRDefault="00414E5A" w:rsidP="004E2DCA">
      <w:pPr>
        <w:pStyle w:val="En-tte"/>
        <w:tabs>
          <w:tab w:val="left" w:pos="1134"/>
        </w:tabs>
        <w:rPr>
          <w:rFonts w:ascii="Arial" w:hAnsi="Arial"/>
          <w:sz w:val="20"/>
        </w:rPr>
      </w:pPr>
    </w:p>
    <w:p w:rsidR="004E2DCA" w:rsidRDefault="004E2DCA" w:rsidP="004E2DCA">
      <w:pPr>
        <w:pStyle w:val="En-tte"/>
        <w:tabs>
          <w:tab w:val="left" w:pos="1134"/>
        </w:tabs>
        <w:rPr>
          <w:rFonts w:ascii="Arial" w:hAnsi="Arial"/>
          <w:sz w:val="20"/>
        </w:rPr>
      </w:pPr>
      <w:r w:rsidRPr="004E2DCA">
        <w:rPr>
          <w:rFonts w:ascii="Arial" w:hAnsi="Arial"/>
          <w:sz w:val="20"/>
        </w:rPr>
        <w:t>Les collectivités territoriales et leurs établissements publics peuvent</w:t>
      </w:r>
      <w:r w:rsidR="00414E5A">
        <w:rPr>
          <w:rFonts w:ascii="Arial" w:hAnsi="Arial"/>
          <w:sz w:val="20"/>
        </w:rPr>
        <w:t> :</w:t>
      </w:r>
    </w:p>
    <w:p w:rsidR="00414E5A" w:rsidRDefault="004E2DCA" w:rsidP="004E2DCA">
      <w:pPr>
        <w:pStyle w:val="En-tte"/>
        <w:numPr>
          <w:ilvl w:val="0"/>
          <w:numId w:val="4"/>
        </w:numPr>
        <w:tabs>
          <w:tab w:val="left" w:pos="1134"/>
        </w:tabs>
        <w:rPr>
          <w:rFonts w:ascii="Arial" w:hAnsi="Arial"/>
          <w:sz w:val="20"/>
        </w:rPr>
      </w:pPr>
      <w:r w:rsidRPr="004E2DCA">
        <w:rPr>
          <w:rFonts w:ascii="Arial" w:hAnsi="Arial"/>
          <w:sz w:val="20"/>
        </w:rPr>
        <w:t xml:space="preserve">soit </w:t>
      </w:r>
      <w:r w:rsidRPr="0090625C">
        <w:rPr>
          <w:rFonts w:ascii="Arial" w:hAnsi="Arial"/>
          <w:b/>
          <w:sz w:val="20"/>
        </w:rPr>
        <w:t>aider les</w:t>
      </w:r>
      <w:r w:rsidRPr="004E2DCA">
        <w:rPr>
          <w:rFonts w:ascii="Arial" w:hAnsi="Arial"/>
          <w:sz w:val="20"/>
        </w:rPr>
        <w:t xml:space="preserve"> </w:t>
      </w:r>
      <w:r w:rsidRPr="0090625C">
        <w:rPr>
          <w:rFonts w:ascii="Arial" w:hAnsi="Arial"/>
          <w:b/>
          <w:sz w:val="20"/>
        </w:rPr>
        <w:t>agents qui auront souscrit un contrat ou adhéré à un règlement dont le caractère solidaire aura été préalablement vérifié</w:t>
      </w:r>
      <w:r w:rsidRPr="004E2DCA">
        <w:rPr>
          <w:rFonts w:ascii="Arial" w:hAnsi="Arial"/>
          <w:sz w:val="20"/>
        </w:rPr>
        <w:t xml:space="preserve"> au niveau national, dans le cadre d’une procédure spécifique dite de </w:t>
      </w:r>
      <w:r w:rsidRPr="0090625C">
        <w:rPr>
          <w:rFonts w:ascii="Arial" w:hAnsi="Arial"/>
          <w:b/>
          <w:sz w:val="20"/>
        </w:rPr>
        <w:t>« labellisation »</w:t>
      </w:r>
      <w:r w:rsidRPr="004E2DCA">
        <w:rPr>
          <w:rFonts w:ascii="Arial" w:hAnsi="Arial"/>
          <w:sz w:val="20"/>
        </w:rPr>
        <w:t>, sous la responsabilité de prestataires habilités</w:t>
      </w:r>
      <w:r w:rsidR="0090625C">
        <w:rPr>
          <w:rFonts w:ascii="Arial" w:hAnsi="Arial"/>
          <w:sz w:val="20"/>
        </w:rPr>
        <w:t xml:space="preserve"> (</w:t>
      </w:r>
      <w:hyperlink r:id="rId8" w:history="1">
        <w:r w:rsidR="0090625C" w:rsidRPr="0090625C">
          <w:rPr>
            <w:rStyle w:val="Lienhypertexte"/>
            <w:rFonts w:ascii="Arial" w:hAnsi="Arial"/>
            <w:sz w:val="20"/>
          </w:rPr>
          <w:t>liste des prestataires sur le site de l’Autorité de contrôle prudentiel</w:t>
        </w:r>
      </w:hyperlink>
      <w:r w:rsidR="0090625C">
        <w:rPr>
          <w:rFonts w:ascii="Arial" w:hAnsi="Arial"/>
          <w:sz w:val="20"/>
        </w:rPr>
        <w:t>)</w:t>
      </w:r>
      <w:r w:rsidRPr="004E2DCA">
        <w:rPr>
          <w:rFonts w:ascii="Arial" w:hAnsi="Arial"/>
          <w:sz w:val="20"/>
        </w:rPr>
        <w:t xml:space="preserve"> à cette fin par l’Autorité de contrôle prudentiel et de résolution (ACPR). Ces contrats et règlements « labellisés » sont répertoriés sur une </w:t>
      </w:r>
      <w:hyperlink r:id="rId9" w:history="1">
        <w:r w:rsidRPr="00293835">
          <w:rPr>
            <w:rStyle w:val="Lienhypertexte"/>
            <w:rFonts w:ascii="Arial" w:hAnsi="Arial"/>
            <w:sz w:val="20"/>
          </w:rPr>
          <w:t>liste publiée par le ministère des collectivités territoriales</w:t>
        </w:r>
      </w:hyperlink>
      <w:r w:rsidR="00293835">
        <w:rPr>
          <w:rFonts w:ascii="Arial" w:hAnsi="Arial"/>
          <w:sz w:val="20"/>
        </w:rPr>
        <w:t xml:space="preserve"> et régulièrement actualisée ;</w:t>
      </w:r>
    </w:p>
    <w:p w:rsidR="004E2DCA" w:rsidRPr="00414E5A" w:rsidRDefault="004E2DCA" w:rsidP="004E2DCA">
      <w:pPr>
        <w:pStyle w:val="En-tte"/>
        <w:numPr>
          <w:ilvl w:val="0"/>
          <w:numId w:val="4"/>
        </w:numPr>
        <w:tabs>
          <w:tab w:val="left" w:pos="1134"/>
        </w:tabs>
        <w:rPr>
          <w:rFonts w:ascii="Arial" w:hAnsi="Arial"/>
          <w:sz w:val="20"/>
        </w:rPr>
      </w:pPr>
      <w:r w:rsidRPr="00414E5A">
        <w:rPr>
          <w:rFonts w:ascii="Arial" w:hAnsi="Arial"/>
          <w:sz w:val="20"/>
        </w:rPr>
        <w:t xml:space="preserve">soit engager une </w:t>
      </w:r>
      <w:r w:rsidRPr="0090625C">
        <w:rPr>
          <w:rFonts w:ascii="Arial" w:hAnsi="Arial"/>
          <w:b/>
          <w:sz w:val="20"/>
        </w:rPr>
        <w:t xml:space="preserve">procédure de mise en concurrence </w:t>
      </w:r>
      <w:r w:rsidRPr="0090625C">
        <w:rPr>
          <w:rFonts w:ascii="Arial" w:hAnsi="Arial"/>
          <w:b/>
          <w:i/>
          <w:sz w:val="20"/>
        </w:rPr>
        <w:t>ad hoc</w:t>
      </w:r>
      <w:r w:rsidRPr="00414E5A">
        <w:rPr>
          <w:rFonts w:ascii="Arial" w:hAnsi="Arial"/>
          <w:sz w:val="20"/>
        </w:rPr>
        <w:t xml:space="preserve">, pour sélectionner un contrat ou un règlement remplissant les conditions de solidarité du décret. La collectivité conclut avec l’opérateur choisi, au titre du contrat ou du règlement ainsi sélectionné, une </w:t>
      </w:r>
      <w:r w:rsidRPr="0090625C">
        <w:rPr>
          <w:rFonts w:ascii="Arial" w:hAnsi="Arial"/>
          <w:b/>
          <w:sz w:val="20"/>
        </w:rPr>
        <w:t>« convention de participation »</w:t>
      </w:r>
      <w:r w:rsidRPr="00414E5A">
        <w:rPr>
          <w:rFonts w:ascii="Arial" w:hAnsi="Arial"/>
          <w:sz w:val="20"/>
        </w:rPr>
        <w:t xml:space="preserve">. Ce contrat ou ce règlement est proposé à </w:t>
      </w:r>
      <w:r w:rsidRPr="0090625C">
        <w:rPr>
          <w:rFonts w:ascii="Arial" w:hAnsi="Arial"/>
          <w:sz w:val="20"/>
        </w:rPr>
        <w:t>l’</w:t>
      </w:r>
      <w:r w:rsidRPr="0090625C">
        <w:rPr>
          <w:rFonts w:ascii="Arial" w:hAnsi="Arial"/>
          <w:b/>
          <w:sz w:val="20"/>
        </w:rPr>
        <w:t>adhésion facultative des agents</w:t>
      </w:r>
      <w:r w:rsidRPr="00414E5A">
        <w:rPr>
          <w:rFonts w:ascii="Arial" w:hAnsi="Arial"/>
          <w:sz w:val="20"/>
        </w:rPr>
        <w:t>. Chaque adhésion peut faire l’objet d’une participation financière de la collectivité. L’article 25 de la loi n°84-53 du 26 janvier 1984 permet aux centres de gestion de conclure des conventions de participation conformes à ce décret.</w:t>
      </w:r>
    </w:p>
    <w:p w:rsidR="004E2DCA" w:rsidRPr="004E2DCA" w:rsidRDefault="004E2DCA" w:rsidP="004E2DCA">
      <w:pPr>
        <w:pStyle w:val="En-tte"/>
        <w:tabs>
          <w:tab w:val="left" w:pos="1134"/>
        </w:tabs>
        <w:rPr>
          <w:rFonts w:ascii="Arial" w:hAnsi="Arial"/>
          <w:sz w:val="20"/>
        </w:rPr>
      </w:pPr>
    </w:p>
    <w:p w:rsidR="004E2DCA" w:rsidRDefault="004E2DCA" w:rsidP="004E2DCA">
      <w:pPr>
        <w:pStyle w:val="En-tte"/>
        <w:tabs>
          <w:tab w:val="left" w:pos="1134"/>
        </w:tabs>
        <w:rPr>
          <w:rFonts w:ascii="Arial" w:hAnsi="Arial"/>
          <w:sz w:val="20"/>
        </w:rPr>
      </w:pPr>
      <w:r w:rsidRPr="004E2DCA">
        <w:rPr>
          <w:rFonts w:ascii="Arial" w:hAnsi="Arial"/>
          <w:sz w:val="20"/>
        </w:rPr>
        <w:t>Les collectivités choisissent, pour la santé comme pour la prévoyance, entre l’une et l’autre de ces procédures.</w:t>
      </w:r>
      <w:r w:rsidR="0090625C">
        <w:rPr>
          <w:rFonts w:ascii="Arial" w:hAnsi="Arial"/>
          <w:sz w:val="20"/>
        </w:rPr>
        <w:t xml:space="preserve"> </w:t>
      </w:r>
      <w:r w:rsidRPr="004E2DCA">
        <w:rPr>
          <w:rFonts w:ascii="Arial" w:hAnsi="Arial"/>
          <w:sz w:val="20"/>
        </w:rPr>
        <w:t xml:space="preserve">La </w:t>
      </w:r>
      <w:r w:rsidRPr="0090625C">
        <w:rPr>
          <w:rFonts w:ascii="Arial" w:hAnsi="Arial"/>
          <w:b/>
          <w:sz w:val="20"/>
        </w:rPr>
        <w:t>participation est versée soit directement à l’agent (montant unitaire) soit via un organisme</w:t>
      </w:r>
      <w:r w:rsidRPr="004E2DCA">
        <w:rPr>
          <w:rFonts w:ascii="Arial" w:hAnsi="Arial"/>
          <w:sz w:val="20"/>
        </w:rPr>
        <w:t>.</w:t>
      </w:r>
    </w:p>
    <w:p w:rsidR="0090625C" w:rsidRPr="004E2DCA" w:rsidRDefault="0090625C" w:rsidP="004E2DCA">
      <w:pPr>
        <w:pStyle w:val="En-tte"/>
        <w:tabs>
          <w:tab w:val="left" w:pos="1134"/>
        </w:tabs>
        <w:rPr>
          <w:rFonts w:ascii="Arial" w:hAnsi="Arial"/>
          <w:sz w:val="20"/>
        </w:rPr>
      </w:pPr>
    </w:p>
    <w:p w:rsidR="006C0B12" w:rsidRPr="006C0B12" w:rsidRDefault="006C0B12" w:rsidP="007D4C33">
      <w:pPr>
        <w:pStyle w:val="En-tte"/>
        <w:pBdr>
          <w:bottom w:val="single" w:sz="6" w:space="1" w:color="336699"/>
        </w:pBdr>
        <w:tabs>
          <w:tab w:val="clear" w:pos="4536"/>
          <w:tab w:val="clear" w:pos="9072"/>
          <w:tab w:val="left" w:pos="0"/>
        </w:tabs>
        <w:rPr>
          <w:rFonts w:ascii="Arial" w:hAnsi="Arial"/>
          <w:sz w:val="20"/>
        </w:rPr>
      </w:pPr>
    </w:p>
    <w:p w:rsidR="007D4C33" w:rsidRPr="006F17E5" w:rsidRDefault="007D4C33" w:rsidP="007D4C33">
      <w:pPr>
        <w:pStyle w:val="En-tte"/>
        <w:pBdr>
          <w:bottom w:val="single" w:sz="6" w:space="1" w:color="336699"/>
        </w:pBdr>
        <w:tabs>
          <w:tab w:val="clear" w:pos="4536"/>
          <w:tab w:val="clear" w:pos="9072"/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b/>
          <w:color w:val="336699"/>
          <w:sz w:val="20"/>
        </w:rPr>
        <w:t>I</w:t>
      </w:r>
      <w:r w:rsidR="001F450A">
        <w:rPr>
          <w:rFonts w:ascii="Arial" w:hAnsi="Arial"/>
          <w:b/>
          <w:color w:val="336699"/>
          <w:sz w:val="20"/>
        </w:rPr>
        <w:t>V</w:t>
      </w:r>
      <w:r>
        <w:rPr>
          <w:rFonts w:ascii="Arial" w:hAnsi="Arial"/>
          <w:b/>
          <w:color w:val="336699"/>
          <w:sz w:val="20"/>
        </w:rPr>
        <w:t>. </w:t>
      </w:r>
      <w:r w:rsidR="001F450A" w:rsidRPr="00BF785D">
        <w:rPr>
          <w:rFonts w:ascii="Arial" w:hAnsi="Arial"/>
          <w:b/>
          <w:color w:val="336699"/>
          <w:sz w:val="20"/>
        </w:rPr>
        <w:t>La fonction publique hospitalière : la prise en charge au titre de l’article 44</w:t>
      </w:r>
      <w:r w:rsidR="001479DD" w:rsidRPr="00BF785D">
        <w:rPr>
          <w:rFonts w:ascii="Arial" w:hAnsi="Arial"/>
          <w:b/>
          <w:color w:val="336699"/>
          <w:sz w:val="20"/>
        </w:rPr>
        <w:t xml:space="preserve"> et la prestation maladie</w:t>
      </w:r>
    </w:p>
    <w:p w:rsidR="007D4C33" w:rsidRDefault="007D4C33" w:rsidP="007D4C33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</w:p>
    <w:p w:rsidR="004B3B64" w:rsidRPr="00BF785D" w:rsidRDefault="00386D29" w:rsidP="00D85790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L’article 44 de la loi du 9 janvier 1986 prévoit la </w:t>
      </w:r>
      <w:r w:rsidRPr="00A945FA">
        <w:rPr>
          <w:rFonts w:ascii="Arial" w:hAnsi="Arial"/>
          <w:b/>
          <w:sz w:val="20"/>
        </w:rPr>
        <w:t>prise en charge par l’établissement d’affectation</w:t>
      </w:r>
      <w:r>
        <w:rPr>
          <w:rFonts w:ascii="Arial" w:hAnsi="Arial"/>
          <w:sz w:val="20"/>
        </w:rPr>
        <w:t xml:space="preserve"> du fonctionnaire des </w:t>
      </w:r>
      <w:r w:rsidRPr="00A945FA">
        <w:rPr>
          <w:rFonts w:ascii="Arial" w:hAnsi="Arial"/>
          <w:b/>
          <w:sz w:val="20"/>
        </w:rPr>
        <w:t>frais d’hospitalisation dans la limite de 6 mois</w:t>
      </w:r>
      <w:r w:rsidR="00A945FA">
        <w:rPr>
          <w:rFonts w:ascii="Arial" w:hAnsi="Arial"/>
          <w:sz w:val="20"/>
        </w:rPr>
        <w:t xml:space="preserve">. Le fonctionnaire bénéficie également de la prise en charge par l’établissement des </w:t>
      </w:r>
      <w:r w:rsidR="00A945FA" w:rsidRPr="00A945FA">
        <w:rPr>
          <w:rFonts w:ascii="Arial" w:hAnsi="Arial"/>
          <w:b/>
          <w:sz w:val="20"/>
        </w:rPr>
        <w:t xml:space="preserve">soins médicaux </w:t>
      </w:r>
      <w:r w:rsidR="00BF785D" w:rsidRPr="00BF785D">
        <w:rPr>
          <w:rFonts w:ascii="Arial" w:hAnsi="Arial"/>
          <w:sz w:val="20"/>
        </w:rPr>
        <w:t xml:space="preserve">et </w:t>
      </w:r>
      <w:r w:rsidR="00BF785D" w:rsidRPr="00BF785D">
        <w:rPr>
          <w:rFonts w:ascii="Arial" w:hAnsi="Arial"/>
          <w:b/>
          <w:sz w:val="20"/>
        </w:rPr>
        <w:t>des produits pharmaceutiques</w:t>
      </w:r>
      <w:r w:rsidR="00BF785D" w:rsidRPr="00BF785D">
        <w:rPr>
          <w:rFonts w:ascii="Arial" w:hAnsi="Arial"/>
          <w:sz w:val="20"/>
        </w:rPr>
        <w:t xml:space="preserve"> qui leur sont délivrés pour leur usage personnel par la pharmacie de l'établissement, </w:t>
      </w:r>
      <w:r w:rsidR="00BF785D" w:rsidRPr="00BF785D">
        <w:rPr>
          <w:rFonts w:ascii="Arial" w:hAnsi="Arial"/>
          <w:b/>
          <w:sz w:val="20"/>
        </w:rPr>
        <w:t>sur prescription d'un médecin de l'établissement</w:t>
      </w:r>
      <w:r w:rsidR="00BF785D" w:rsidRPr="00BF785D">
        <w:rPr>
          <w:rFonts w:ascii="Arial" w:hAnsi="Arial"/>
          <w:sz w:val="20"/>
        </w:rPr>
        <w:t>.</w:t>
      </w:r>
    </w:p>
    <w:p w:rsidR="00BF785D" w:rsidRDefault="00BF785D" w:rsidP="00D85790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</w:p>
    <w:p w:rsidR="00307A5B" w:rsidRPr="00307A5B" w:rsidRDefault="00307A5B" w:rsidP="00307A5B">
      <w:pPr>
        <w:pStyle w:val="En-tte"/>
        <w:tabs>
          <w:tab w:val="left" w:pos="1134"/>
        </w:tabs>
        <w:rPr>
          <w:rFonts w:ascii="Arial" w:hAnsi="Arial"/>
          <w:sz w:val="20"/>
        </w:rPr>
      </w:pPr>
      <w:r w:rsidRPr="00BF785D">
        <w:rPr>
          <w:rFonts w:ascii="Arial" w:hAnsi="Arial"/>
          <w:sz w:val="20"/>
        </w:rPr>
        <w:t xml:space="preserve">A ce </w:t>
      </w:r>
      <w:r w:rsidR="00216D39" w:rsidRPr="00BF785D">
        <w:rPr>
          <w:rFonts w:ascii="Arial" w:hAnsi="Arial"/>
          <w:sz w:val="20"/>
        </w:rPr>
        <w:t>droit aux soins gratuits</w:t>
      </w:r>
      <w:r w:rsidRPr="00BF785D">
        <w:rPr>
          <w:rFonts w:ascii="Arial" w:hAnsi="Arial"/>
          <w:sz w:val="20"/>
        </w:rPr>
        <w:t xml:space="preserve"> s’ajoute la </w:t>
      </w:r>
      <w:r w:rsidRPr="00BF785D">
        <w:rPr>
          <w:rFonts w:ascii="Arial" w:hAnsi="Arial"/>
          <w:b/>
          <w:sz w:val="20"/>
        </w:rPr>
        <w:t>prestation maladie</w:t>
      </w:r>
      <w:r w:rsidRPr="00BF785D">
        <w:rPr>
          <w:rFonts w:ascii="Arial" w:hAnsi="Arial"/>
          <w:sz w:val="20"/>
        </w:rPr>
        <w:t>, dispositif proposé par les organismes de gestion de l’action sociale notamment au titre de</w:t>
      </w:r>
      <w:r w:rsidR="00216D39" w:rsidRPr="00BF785D">
        <w:rPr>
          <w:rFonts w:ascii="Arial" w:hAnsi="Arial"/>
          <w:sz w:val="20"/>
        </w:rPr>
        <w:t xml:space="preserve">s </w:t>
      </w:r>
      <w:r w:rsidRPr="00BF785D">
        <w:rPr>
          <w:rFonts w:ascii="Arial" w:hAnsi="Arial"/>
          <w:sz w:val="20"/>
        </w:rPr>
        <w:t>article</w:t>
      </w:r>
      <w:r w:rsidR="00216D39" w:rsidRPr="00BF785D">
        <w:rPr>
          <w:rFonts w:ascii="Arial" w:hAnsi="Arial"/>
          <w:sz w:val="20"/>
        </w:rPr>
        <w:t>s 9 de la loi n° 83-634 du 13 juillet 1983 portant droits et obligations des fonctionnaires et</w:t>
      </w:r>
      <w:r w:rsidRPr="00BF785D">
        <w:rPr>
          <w:rFonts w:ascii="Arial" w:hAnsi="Arial"/>
          <w:sz w:val="20"/>
        </w:rPr>
        <w:t xml:space="preserve"> 116-1 de la loi n°86-33 du 9 janvier 1986 portant dispositions statutaires relatives à la fonction publique hospitalière. Cette prestation vise à </w:t>
      </w:r>
      <w:r w:rsidRPr="00BF785D">
        <w:rPr>
          <w:rFonts w:ascii="Arial" w:hAnsi="Arial"/>
          <w:b/>
          <w:sz w:val="20"/>
        </w:rPr>
        <w:t>compenser la perte de rémunération des agents ayant épuisé leurs droits statutaires de rémunération à plein traitement pour maladie</w:t>
      </w:r>
      <w:r w:rsidRPr="00BF785D">
        <w:rPr>
          <w:rFonts w:ascii="Arial" w:hAnsi="Arial"/>
          <w:sz w:val="20"/>
        </w:rPr>
        <w:t>.</w:t>
      </w:r>
    </w:p>
    <w:p w:rsidR="00307A5B" w:rsidRPr="00307A5B" w:rsidRDefault="00307A5B" w:rsidP="00D85790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b/>
          <w:sz w:val="20"/>
        </w:rPr>
      </w:pPr>
    </w:p>
    <w:p w:rsidR="00386D29" w:rsidRDefault="00386D29" w:rsidP="00D85790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</w:rPr>
      </w:pPr>
    </w:p>
    <w:p w:rsidR="00D85790" w:rsidRPr="006F17E5" w:rsidRDefault="000345CA" w:rsidP="00D85790">
      <w:pPr>
        <w:pStyle w:val="En-tte"/>
        <w:pBdr>
          <w:bottom w:val="single" w:sz="6" w:space="1" w:color="336699"/>
        </w:pBdr>
        <w:tabs>
          <w:tab w:val="clear" w:pos="4536"/>
          <w:tab w:val="clear" w:pos="9072"/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b/>
          <w:color w:val="336699"/>
          <w:sz w:val="20"/>
        </w:rPr>
        <w:t>V. </w:t>
      </w:r>
      <w:r w:rsidR="00D85790">
        <w:rPr>
          <w:rFonts w:ascii="Arial" w:hAnsi="Arial"/>
          <w:b/>
          <w:color w:val="336699"/>
          <w:sz w:val="20"/>
        </w:rPr>
        <w:t>Textes de référence</w:t>
      </w:r>
    </w:p>
    <w:p w:rsidR="002F2F81" w:rsidRDefault="002F2F81" w:rsidP="007D4C33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/>
          <w:sz w:val="20"/>
          <w:szCs w:val="18"/>
        </w:rPr>
      </w:pPr>
    </w:p>
    <w:p w:rsidR="00D85790" w:rsidRDefault="00D85790" w:rsidP="00D85790">
      <w:pPr>
        <w:pStyle w:val="En-tte"/>
        <w:numPr>
          <w:ilvl w:val="0"/>
          <w:numId w:val="1"/>
        </w:numPr>
        <w:tabs>
          <w:tab w:val="left" w:pos="1134"/>
        </w:tabs>
        <w:ind w:left="360"/>
        <w:rPr>
          <w:rFonts w:ascii="Arial" w:hAnsi="Arial"/>
          <w:sz w:val="20"/>
          <w:szCs w:val="18"/>
        </w:rPr>
      </w:pPr>
      <w:r w:rsidRPr="00D85790">
        <w:rPr>
          <w:rFonts w:ascii="Arial" w:hAnsi="Arial"/>
          <w:sz w:val="20"/>
          <w:szCs w:val="18"/>
        </w:rPr>
        <w:t>Arti</w:t>
      </w:r>
      <w:r w:rsidR="005E6107">
        <w:rPr>
          <w:rFonts w:ascii="Arial" w:hAnsi="Arial"/>
          <w:sz w:val="20"/>
          <w:szCs w:val="18"/>
        </w:rPr>
        <w:t xml:space="preserve">cle 22 </w:t>
      </w:r>
      <w:r w:rsidRPr="00D85790">
        <w:rPr>
          <w:rFonts w:ascii="Arial" w:hAnsi="Arial"/>
          <w:sz w:val="20"/>
          <w:szCs w:val="18"/>
        </w:rPr>
        <w:t>bis de la loi n°</w:t>
      </w:r>
      <w:r w:rsidR="005E6107">
        <w:rPr>
          <w:rFonts w:ascii="Arial" w:hAnsi="Arial"/>
          <w:sz w:val="20"/>
          <w:szCs w:val="18"/>
        </w:rPr>
        <w:t> </w:t>
      </w:r>
      <w:r w:rsidRPr="00D85790">
        <w:rPr>
          <w:rFonts w:ascii="Arial" w:hAnsi="Arial"/>
          <w:sz w:val="20"/>
          <w:szCs w:val="18"/>
        </w:rPr>
        <w:t>83-634 du 13 juillet 1983 modifiée po</w:t>
      </w:r>
      <w:r>
        <w:rPr>
          <w:rFonts w:ascii="Arial" w:hAnsi="Arial"/>
          <w:sz w:val="20"/>
          <w:szCs w:val="18"/>
        </w:rPr>
        <w:t>rtant droits et obligations des </w:t>
      </w:r>
      <w:r w:rsidRPr="00D85790">
        <w:rPr>
          <w:rFonts w:ascii="Arial" w:hAnsi="Arial"/>
          <w:sz w:val="20"/>
          <w:szCs w:val="18"/>
        </w:rPr>
        <w:t>fonctionnaires</w:t>
      </w:r>
    </w:p>
    <w:p w:rsidR="00D85790" w:rsidRDefault="00D85790" w:rsidP="004E2DCA">
      <w:pPr>
        <w:pStyle w:val="En-tte"/>
        <w:tabs>
          <w:tab w:val="left" w:pos="1134"/>
        </w:tabs>
        <w:rPr>
          <w:rFonts w:ascii="Arial" w:hAnsi="Arial"/>
          <w:sz w:val="20"/>
          <w:szCs w:val="18"/>
        </w:rPr>
      </w:pPr>
    </w:p>
    <w:p w:rsidR="001F450A" w:rsidRDefault="001F450A" w:rsidP="00386D29">
      <w:pPr>
        <w:pStyle w:val="En-tte"/>
        <w:tabs>
          <w:tab w:val="left" w:pos="1134"/>
        </w:tabs>
        <w:ind w:left="360"/>
        <w:rPr>
          <w:rFonts w:ascii="Arial" w:hAnsi="Arial"/>
          <w:sz w:val="20"/>
          <w:szCs w:val="18"/>
        </w:rPr>
      </w:pPr>
      <w:r w:rsidRPr="001F450A">
        <w:rPr>
          <w:rFonts w:ascii="Arial" w:hAnsi="Arial"/>
          <w:b/>
          <w:color w:val="336699"/>
          <w:sz w:val="20"/>
          <w:szCs w:val="18"/>
        </w:rPr>
        <w:t>Fonction publique de l’État</w:t>
      </w:r>
    </w:p>
    <w:p w:rsidR="00D85790" w:rsidRPr="004E2DCA" w:rsidRDefault="00D85790" w:rsidP="004E2DCA">
      <w:pPr>
        <w:pStyle w:val="En-tte"/>
        <w:numPr>
          <w:ilvl w:val="0"/>
          <w:numId w:val="1"/>
        </w:numPr>
        <w:tabs>
          <w:tab w:val="left" w:pos="1134"/>
        </w:tabs>
        <w:ind w:left="360"/>
        <w:rPr>
          <w:rFonts w:ascii="Arial" w:hAnsi="Arial"/>
          <w:sz w:val="20"/>
          <w:szCs w:val="18"/>
        </w:rPr>
      </w:pPr>
      <w:r w:rsidRPr="00D85790">
        <w:rPr>
          <w:rFonts w:ascii="Arial" w:hAnsi="Arial"/>
          <w:sz w:val="20"/>
          <w:szCs w:val="18"/>
        </w:rPr>
        <w:t>Décret n</w:t>
      </w:r>
      <w:r>
        <w:rPr>
          <w:rFonts w:ascii="Arial" w:hAnsi="Arial"/>
          <w:sz w:val="20"/>
          <w:szCs w:val="18"/>
        </w:rPr>
        <w:t>° </w:t>
      </w:r>
      <w:r w:rsidRPr="00D85790">
        <w:rPr>
          <w:rFonts w:ascii="Arial" w:hAnsi="Arial"/>
          <w:sz w:val="20"/>
          <w:szCs w:val="18"/>
        </w:rPr>
        <w:t>2007-1373 du 19 septembre 2007 relatif à la participation de l’État et de ses établissements publics au financement de la protection sociale comp</w:t>
      </w:r>
      <w:r>
        <w:rPr>
          <w:rFonts w:ascii="Arial" w:hAnsi="Arial"/>
          <w:sz w:val="20"/>
          <w:szCs w:val="18"/>
        </w:rPr>
        <w:t>lémentaire de leurs personnels ;</w:t>
      </w:r>
    </w:p>
    <w:p w:rsidR="00D85790" w:rsidRPr="004E2DCA" w:rsidRDefault="00D85790" w:rsidP="004E2DCA">
      <w:pPr>
        <w:pStyle w:val="En-tte"/>
        <w:numPr>
          <w:ilvl w:val="0"/>
          <w:numId w:val="1"/>
        </w:numPr>
        <w:tabs>
          <w:tab w:val="left" w:pos="1134"/>
        </w:tabs>
        <w:ind w:left="360"/>
        <w:rPr>
          <w:rFonts w:ascii="Arial" w:hAnsi="Arial"/>
          <w:sz w:val="20"/>
          <w:szCs w:val="18"/>
        </w:rPr>
      </w:pPr>
      <w:r w:rsidRPr="00D85790">
        <w:rPr>
          <w:rFonts w:ascii="Arial" w:hAnsi="Arial"/>
          <w:sz w:val="20"/>
          <w:szCs w:val="18"/>
        </w:rPr>
        <w:t>Arrêté du 19 décembre 2007 relatif aux critères d</w:t>
      </w:r>
      <w:r>
        <w:rPr>
          <w:rFonts w:ascii="Arial" w:hAnsi="Arial"/>
          <w:sz w:val="20"/>
          <w:szCs w:val="18"/>
        </w:rPr>
        <w:t>e choix des employeurs publics ;</w:t>
      </w:r>
    </w:p>
    <w:p w:rsidR="00D85790" w:rsidRPr="004E2DCA" w:rsidRDefault="00D85790" w:rsidP="004E2DCA">
      <w:pPr>
        <w:pStyle w:val="En-tte"/>
        <w:numPr>
          <w:ilvl w:val="0"/>
          <w:numId w:val="1"/>
        </w:numPr>
        <w:tabs>
          <w:tab w:val="left" w:pos="1134"/>
        </w:tabs>
        <w:ind w:left="360"/>
        <w:rPr>
          <w:rFonts w:ascii="Arial" w:hAnsi="Arial"/>
          <w:sz w:val="20"/>
          <w:szCs w:val="18"/>
        </w:rPr>
      </w:pPr>
      <w:r w:rsidRPr="00D85790">
        <w:rPr>
          <w:rFonts w:ascii="Arial" w:hAnsi="Arial"/>
          <w:sz w:val="20"/>
          <w:szCs w:val="18"/>
        </w:rPr>
        <w:t>Arrêté du 19 décembre 2007 relatif aux modalités d'application de l'article 17 du décret n°</w:t>
      </w:r>
      <w:r>
        <w:rPr>
          <w:rFonts w:ascii="Arial" w:hAnsi="Arial"/>
          <w:sz w:val="20"/>
          <w:szCs w:val="18"/>
        </w:rPr>
        <w:t> </w:t>
      </w:r>
      <w:r w:rsidRPr="00D85790">
        <w:rPr>
          <w:rFonts w:ascii="Arial" w:hAnsi="Arial"/>
          <w:sz w:val="20"/>
          <w:szCs w:val="18"/>
        </w:rPr>
        <w:t>2007</w:t>
      </w:r>
      <w:r>
        <w:rPr>
          <w:rFonts w:ascii="Arial" w:hAnsi="Arial"/>
          <w:sz w:val="20"/>
          <w:szCs w:val="18"/>
        </w:rPr>
        <w:t>-</w:t>
      </w:r>
      <w:r w:rsidRPr="00D85790">
        <w:rPr>
          <w:rFonts w:ascii="Arial" w:hAnsi="Arial"/>
          <w:sz w:val="20"/>
          <w:szCs w:val="18"/>
        </w:rPr>
        <w:t>1373 du 19 septembre 2007 relatif à la participation de l'État et de ses établissements publics au financement de la protection sociale comp</w:t>
      </w:r>
      <w:r>
        <w:rPr>
          <w:rFonts w:ascii="Arial" w:hAnsi="Arial"/>
          <w:sz w:val="20"/>
          <w:szCs w:val="18"/>
        </w:rPr>
        <w:t>lémentaire de leurs personnels ;</w:t>
      </w:r>
    </w:p>
    <w:p w:rsidR="00D85790" w:rsidRPr="004E2DCA" w:rsidRDefault="00D85790" w:rsidP="004E2DCA">
      <w:pPr>
        <w:pStyle w:val="En-tte"/>
        <w:numPr>
          <w:ilvl w:val="0"/>
          <w:numId w:val="1"/>
        </w:numPr>
        <w:tabs>
          <w:tab w:val="left" w:pos="1134"/>
        </w:tabs>
        <w:ind w:left="360"/>
        <w:rPr>
          <w:rFonts w:ascii="Arial" w:hAnsi="Arial"/>
          <w:sz w:val="20"/>
          <w:szCs w:val="18"/>
        </w:rPr>
      </w:pPr>
      <w:r w:rsidRPr="00D85790">
        <w:rPr>
          <w:rFonts w:ascii="Arial" w:hAnsi="Arial"/>
          <w:sz w:val="20"/>
          <w:szCs w:val="18"/>
        </w:rPr>
        <w:t>Arrêté du 19 décembre 2007 pris en application de l'artic</w:t>
      </w:r>
      <w:r>
        <w:rPr>
          <w:rFonts w:ascii="Arial" w:hAnsi="Arial"/>
          <w:sz w:val="20"/>
          <w:szCs w:val="18"/>
        </w:rPr>
        <w:t>le 23 du décret n° 2007-1373 du </w:t>
      </w:r>
      <w:r w:rsidRPr="00D85790">
        <w:rPr>
          <w:rFonts w:ascii="Arial" w:hAnsi="Arial"/>
          <w:sz w:val="20"/>
          <w:szCs w:val="18"/>
        </w:rPr>
        <w:t>19</w:t>
      </w:r>
      <w:r>
        <w:rPr>
          <w:rFonts w:ascii="Arial" w:hAnsi="Arial"/>
          <w:sz w:val="20"/>
          <w:szCs w:val="18"/>
        </w:rPr>
        <w:t> </w:t>
      </w:r>
      <w:r w:rsidRPr="00D85790">
        <w:rPr>
          <w:rFonts w:ascii="Arial" w:hAnsi="Arial"/>
          <w:sz w:val="20"/>
          <w:szCs w:val="18"/>
        </w:rPr>
        <w:t>septembre 2007 relatif à la participation de l'État et de ses établissements publics au financement de la protection sociale complémentaire de leurs personnels</w:t>
      </w:r>
      <w:r>
        <w:rPr>
          <w:rFonts w:ascii="Arial" w:hAnsi="Arial"/>
          <w:sz w:val="20"/>
          <w:szCs w:val="18"/>
        </w:rPr>
        <w:t> ;</w:t>
      </w:r>
    </w:p>
    <w:p w:rsidR="00D85790" w:rsidRPr="004E2DCA" w:rsidRDefault="00D85790" w:rsidP="004E2DCA">
      <w:pPr>
        <w:pStyle w:val="En-tte"/>
        <w:numPr>
          <w:ilvl w:val="0"/>
          <w:numId w:val="1"/>
        </w:numPr>
        <w:tabs>
          <w:tab w:val="left" w:pos="1134"/>
        </w:tabs>
        <w:ind w:left="360"/>
        <w:rPr>
          <w:rFonts w:ascii="Arial" w:hAnsi="Arial"/>
          <w:sz w:val="20"/>
          <w:szCs w:val="18"/>
        </w:rPr>
      </w:pPr>
      <w:r w:rsidRPr="00D85790">
        <w:rPr>
          <w:rFonts w:ascii="Arial" w:hAnsi="Arial"/>
          <w:sz w:val="20"/>
          <w:szCs w:val="18"/>
        </w:rPr>
        <w:t>Arrêté du 19 décembre 2007 relatif à l'avis d'appel public à la concurrence publié au Journal officiel de l'Union européenne pour le choix des organismes de référence par l'employeur public</w:t>
      </w:r>
      <w:r>
        <w:rPr>
          <w:rFonts w:ascii="Arial" w:hAnsi="Arial"/>
          <w:sz w:val="20"/>
          <w:szCs w:val="18"/>
        </w:rPr>
        <w:t> ;</w:t>
      </w:r>
    </w:p>
    <w:p w:rsidR="00D85790" w:rsidRPr="004E2DCA" w:rsidRDefault="00D85790" w:rsidP="004E2DCA">
      <w:pPr>
        <w:pStyle w:val="En-tte"/>
        <w:numPr>
          <w:ilvl w:val="0"/>
          <w:numId w:val="1"/>
        </w:numPr>
        <w:tabs>
          <w:tab w:val="left" w:pos="1134"/>
        </w:tabs>
        <w:ind w:left="360"/>
        <w:rPr>
          <w:rFonts w:ascii="Arial" w:hAnsi="Arial"/>
          <w:sz w:val="20"/>
          <w:szCs w:val="18"/>
        </w:rPr>
      </w:pPr>
      <w:r w:rsidRPr="00D85790">
        <w:rPr>
          <w:rFonts w:ascii="Arial" w:hAnsi="Arial"/>
          <w:sz w:val="20"/>
          <w:szCs w:val="18"/>
        </w:rPr>
        <w:t xml:space="preserve">Arrêté du 19 décembre 2007 relatif aux majorations de cotisations prévues </w:t>
      </w:r>
      <w:r>
        <w:rPr>
          <w:rFonts w:ascii="Arial" w:hAnsi="Arial"/>
          <w:sz w:val="20"/>
          <w:szCs w:val="18"/>
        </w:rPr>
        <w:t>par l'article 16-2 du décret n° </w:t>
      </w:r>
      <w:r w:rsidRPr="00D85790">
        <w:rPr>
          <w:rFonts w:ascii="Arial" w:hAnsi="Arial"/>
          <w:sz w:val="20"/>
          <w:szCs w:val="18"/>
        </w:rPr>
        <w:t xml:space="preserve">2007-1373 du 19 septembre 2007 relatif à la participation de l'État et de ses établissements publics au financement de la protection </w:t>
      </w:r>
      <w:r>
        <w:rPr>
          <w:rFonts w:ascii="Arial" w:hAnsi="Arial"/>
          <w:sz w:val="20"/>
          <w:szCs w:val="18"/>
        </w:rPr>
        <w:t>sociale complémentaire de leurs </w:t>
      </w:r>
      <w:r w:rsidRPr="00D85790">
        <w:rPr>
          <w:rFonts w:ascii="Arial" w:hAnsi="Arial"/>
          <w:sz w:val="20"/>
          <w:szCs w:val="18"/>
        </w:rPr>
        <w:t>personnels</w:t>
      </w:r>
      <w:r>
        <w:rPr>
          <w:rFonts w:ascii="Arial" w:hAnsi="Arial"/>
          <w:sz w:val="20"/>
          <w:szCs w:val="18"/>
        </w:rPr>
        <w:t> ;</w:t>
      </w:r>
    </w:p>
    <w:p w:rsidR="001F450A" w:rsidRPr="004E2DCA" w:rsidRDefault="00D85790" w:rsidP="004E2DCA">
      <w:pPr>
        <w:pStyle w:val="En-tte"/>
        <w:numPr>
          <w:ilvl w:val="0"/>
          <w:numId w:val="1"/>
        </w:numPr>
        <w:tabs>
          <w:tab w:val="left" w:pos="1134"/>
        </w:tabs>
        <w:ind w:left="360"/>
        <w:rPr>
          <w:rFonts w:ascii="Arial" w:hAnsi="Arial"/>
          <w:sz w:val="20"/>
          <w:szCs w:val="18"/>
        </w:rPr>
      </w:pPr>
      <w:r w:rsidRPr="00D85790">
        <w:rPr>
          <w:rFonts w:ascii="Arial" w:hAnsi="Arial"/>
          <w:sz w:val="20"/>
          <w:szCs w:val="18"/>
        </w:rPr>
        <w:lastRenderedPageBreak/>
        <w:t>Arrêté du 19 décembre 2007 relatif à la répartition de la participation de l'État et de ses établissements publics au financement de la protection sociale complémentaire de leurs</w:t>
      </w:r>
      <w:r>
        <w:rPr>
          <w:rFonts w:ascii="Arial" w:hAnsi="Arial"/>
          <w:sz w:val="20"/>
          <w:szCs w:val="18"/>
        </w:rPr>
        <w:t> </w:t>
      </w:r>
      <w:r w:rsidR="001F450A">
        <w:rPr>
          <w:rFonts w:ascii="Arial" w:hAnsi="Arial"/>
          <w:sz w:val="20"/>
          <w:szCs w:val="18"/>
        </w:rPr>
        <w:t>personnels ;</w:t>
      </w:r>
    </w:p>
    <w:p w:rsidR="001F450A" w:rsidRPr="004E2DCA" w:rsidRDefault="001F450A" w:rsidP="004E2DCA">
      <w:pPr>
        <w:pStyle w:val="En-tte"/>
        <w:numPr>
          <w:ilvl w:val="0"/>
          <w:numId w:val="1"/>
        </w:numPr>
        <w:tabs>
          <w:tab w:val="left" w:pos="1134"/>
        </w:tabs>
        <w:ind w:left="360"/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>Circulaire du 27 juin 2016 relative à la procédure de référencement des organismes de protection sociale complémentaire dans la fonction publique de l’État</w:t>
      </w:r>
    </w:p>
    <w:p w:rsidR="004E77CB" w:rsidRDefault="004E77CB">
      <w:pPr>
        <w:jc w:val="left"/>
        <w:rPr>
          <w:rFonts w:ascii="Arial" w:hAnsi="Arial"/>
          <w:sz w:val="20"/>
          <w:szCs w:val="18"/>
        </w:rPr>
      </w:pPr>
    </w:p>
    <w:p w:rsidR="001F450A" w:rsidRDefault="001F450A" w:rsidP="00414E5A">
      <w:pPr>
        <w:pStyle w:val="En-tte"/>
        <w:tabs>
          <w:tab w:val="left" w:pos="1134"/>
        </w:tabs>
        <w:rPr>
          <w:rFonts w:ascii="Arial" w:hAnsi="Arial"/>
          <w:sz w:val="20"/>
          <w:szCs w:val="18"/>
        </w:rPr>
      </w:pPr>
    </w:p>
    <w:p w:rsidR="001F450A" w:rsidRDefault="001F450A" w:rsidP="00386D29">
      <w:pPr>
        <w:pStyle w:val="En-tte"/>
        <w:tabs>
          <w:tab w:val="left" w:pos="1134"/>
        </w:tabs>
        <w:ind w:left="360"/>
        <w:rPr>
          <w:rFonts w:ascii="Arial" w:hAnsi="Arial"/>
          <w:sz w:val="20"/>
          <w:szCs w:val="18"/>
        </w:rPr>
      </w:pPr>
      <w:r w:rsidRPr="001F450A">
        <w:rPr>
          <w:rFonts w:ascii="Arial" w:hAnsi="Arial"/>
          <w:b/>
          <w:color w:val="336699"/>
          <w:sz w:val="20"/>
          <w:szCs w:val="18"/>
        </w:rPr>
        <w:t xml:space="preserve">Fonction publique </w:t>
      </w:r>
      <w:r>
        <w:rPr>
          <w:rFonts w:ascii="Arial" w:hAnsi="Arial"/>
          <w:b/>
          <w:color w:val="336699"/>
          <w:sz w:val="20"/>
          <w:szCs w:val="18"/>
        </w:rPr>
        <w:t>territoriale</w:t>
      </w:r>
    </w:p>
    <w:p w:rsidR="00D85790" w:rsidRDefault="004E2DCA" w:rsidP="004E2DCA">
      <w:pPr>
        <w:pStyle w:val="En-tte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 xml:space="preserve">Décret n° 2011-1474 du </w:t>
      </w:r>
      <w:r w:rsidRPr="004E2DCA">
        <w:rPr>
          <w:rFonts w:ascii="Arial" w:hAnsi="Arial"/>
          <w:sz w:val="20"/>
          <w:szCs w:val="18"/>
        </w:rPr>
        <w:t>8 novembre 2011 relatif à la participation des collectivités territoriales et de leurs établissements publics au financement de la protection sociale complémentaire de leurs agents</w:t>
      </w:r>
      <w:r>
        <w:rPr>
          <w:rFonts w:ascii="Arial" w:hAnsi="Arial"/>
          <w:sz w:val="20"/>
          <w:szCs w:val="18"/>
        </w:rPr>
        <w:t> ;</w:t>
      </w:r>
    </w:p>
    <w:p w:rsidR="00CF63F3" w:rsidRPr="00CF63F3" w:rsidRDefault="00CF63F3" w:rsidP="00CF63F3">
      <w:pPr>
        <w:pStyle w:val="En-tte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18"/>
        </w:rPr>
      </w:pPr>
      <w:r w:rsidRPr="00CF63F3">
        <w:rPr>
          <w:rFonts w:ascii="Arial" w:hAnsi="Arial"/>
          <w:sz w:val="20"/>
          <w:szCs w:val="18"/>
        </w:rPr>
        <w:t>Arrêté du 8 novembre 2011 relatif aux majorations de cotisations prévues par le décret n° 2011-1474 du 8 novembre 2011 relatif à la participation des collectivités territoriales et de leurs établissements publics au financement de la protection sociale complémentaire de leurs agents</w:t>
      </w:r>
      <w:r>
        <w:rPr>
          <w:rFonts w:ascii="Arial" w:hAnsi="Arial"/>
          <w:sz w:val="20"/>
          <w:szCs w:val="18"/>
        </w:rPr>
        <w:t> ;</w:t>
      </w:r>
    </w:p>
    <w:p w:rsidR="00CF63F3" w:rsidRPr="00CF63F3" w:rsidRDefault="00CF63F3" w:rsidP="00CF63F3">
      <w:pPr>
        <w:pStyle w:val="En-tte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18"/>
        </w:rPr>
      </w:pPr>
      <w:r w:rsidRPr="00CF63F3">
        <w:rPr>
          <w:rFonts w:ascii="Arial" w:hAnsi="Arial"/>
          <w:sz w:val="20"/>
          <w:szCs w:val="18"/>
        </w:rPr>
        <w:t>Arrêté du 8 novembre 2011 relatif à la composition du dossier de demande d’habilitation des prestataires habilités à délivrer les labels pour les contrats et règlements ouvrant droit à participation à la protection sociale complémentaire des agents de la fonction publique territoriale</w:t>
      </w:r>
      <w:r>
        <w:rPr>
          <w:rFonts w:ascii="Arial" w:hAnsi="Arial"/>
          <w:sz w:val="20"/>
          <w:szCs w:val="18"/>
        </w:rPr>
        <w:t> ;</w:t>
      </w:r>
    </w:p>
    <w:p w:rsidR="00CF63F3" w:rsidRPr="00CF63F3" w:rsidRDefault="00CF63F3" w:rsidP="00CF63F3">
      <w:pPr>
        <w:pStyle w:val="En-tte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18"/>
        </w:rPr>
      </w:pPr>
      <w:r w:rsidRPr="00CF63F3">
        <w:rPr>
          <w:rFonts w:ascii="Arial" w:hAnsi="Arial"/>
          <w:sz w:val="20"/>
          <w:szCs w:val="18"/>
        </w:rPr>
        <w:t>Arrêté du 8 novembre 2011 relatif aux critères de choix des collectivités territoriales et des établissements publics en relevant dans le cas d'une convention de participation</w:t>
      </w:r>
      <w:r>
        <w:rPr>
          <w:rFonts w:ascii="Arial" w:hAnsi="Arial"/>
          <w:sz w:val="20"/>
          <w:szCs w:val="18"/>
        </w:rPr>
        <w:t> ;</w:t>
      </w:r>
    </w:p>
    <w:p w:rsidR="00CF63F3" w:rsidRDefault="00CF63F3" w:rsidP="00CF63F3">
      <w:pPr>
        <w:pStyle w:val="En-tte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18"/>
        </w:rPr>
      </w:pPr>
      <w:r w:rsidRPr="00CF63F3">
        <w:rPr>
          <w:rFonts w:ascii="Arial" w:hAnsi="Arial"/>
          <w:sz w:val="20"/>
          <w:szCs w:val="18"/>
        </w:rPr>
        <w:t>Arrêté du 8 novembre 2011 relatif à l'avis d'appel public à la concurrence publié au Journal officiel de l'Union européenne pour le choix des organismes en cas de convention de participation (l’AAPC est disponible en annexe de cet arrêté – JO du 10 novembre 2011 n° 261 texte n° 72)</w:t>
      </w:r>
      <w:r>
        <w:rPr>
          <w:rFonts w:ascii="Arial" w:hAnsi="Arial"/>
          <w:sz w:val="20"/>
          <w:szCs w:val="18"/>
        </w:rPr>
        <w:t> ;</w:t>
      </w:r>
    </w:p>
    <w:p w:rsidR="004E2DCA" w:rsidRDefault="004E2DCA" w:rsidP="004E2DCA">
      <w:pPr>
        <w:pStyle w:val="En-tte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18"/>
        </w:rPr>
      </w:pPr>
      <w:r w:rsidRPr="004E2DCA">
        <w:rPr>
          <w:rFonts w:ascii="Arial" w:hAnsi="Arial"/>
          <w:sz w:val="20"/>
          <w:szCs w:val="18"/>
        </w:rPr>
        <w:t>Circulaire du 25 mai 2012</w:t>
      </w:r>
      <w:r>
        <w:rPr>
          <w:rFonts w:ascii="Arial" w:hAnsi="Arial"/>
          <w:sz w:val="20"/>
          <w:szCs w:val="18"/>
        </w:rPr>
        <w:t xml:space="preserve"> relative à la participation des collectivités territoriales et de leurs établissements publics à la protection sociale complémentaire de leurs agents</w:t>
      </w:r>
    </w:p>
    <w:p w:rsidR="001F450A" w:rsidRDefault="001F450A" w:rsidP="00414E5A">
      <w:pPr>
        <w:pStyle w:val="En-tte"/>
        <w:tabs>
          <w:tab w:val="left" w:pos="1134"/>
        </w:tabs>
        <w:rPr>
          <w:rFonts w:ascii="Arial" w:hAnsi="Arial"/>
          <w:sz w:val="20"/>
          <w:szCs w:val="18"/>
        </w:rPr>
      </w:pPr>
    </w:p>
    <w:p w:rsidR="001F450A" w:rsidRDefault="001F450A" w:rsidP="001F450A">
      <w:pPr>
        <w:pStyle w:val="En-tte"/>
        <w:tabs>
          <w:tab w:val="left" w:pos="1134"/>
        </w:tabs>
        <w:ind w:left="360"/>
        <w:rPr>
          <w:rFonts w:ascii="Arial" w:hAnsi="Arial"/>
          <w:sz w:val="20"/>
          <w:szCs w:val="18"/>
        </w:rPr>
      </w:pPr>
      <w:r w:rsidRPr="001F450A">
        <w:rPr>
          <w:rFonts w:ascii="Arial" w:hAnsi="Arial"/>
          <w:b/>
          <w:color w:val="336699"/>
          <w:sz w:val="20"/>
          <w:szCs w:val="18"/>
        </w:rPr>
        <w:t xml:space="preserve">Fonction publique </w:t>
      </w:r>
      <w:r>
        <w:rPr>
          <w:rFonts w:ascii="Arial" w:hAnsi="Arial"/>
          <w:b/>
          <w:color w:val="336699"/>
          <w:sz w:val="20"/>
          <w:szCs w:val="18"/>
        </w:rPr>
        <w:t>hospitalière</w:t>
      </w:r>
    </w:p>
    <w:p w:rsidR="001F450A" w:rsidRPr="00BF785D" w:rsidRDefault="00414E5A" w:rsidP="00414E5A">
      <w:pPr>
        <w:pStyle w:val="En-tte"/>
        <w:numPr>
          <w:ilvl w:val="0"/>
          <w:numId w:val="3"/>
        </w:numPr>
        <w:tabs>
          <w:tab w:val="left" w:pos="1134"/>
        </w:tabs>
        <w:rPr>
          <w:rFonts w:ascii="Arial" w:hAnsi="Arial"/>
          <w:bCs/>
          <w:sz w:val="20"/>
          <w:szCs w:val="18"/>
        </w:rPr>
      </w:pPr>
      <w:r>
        <w:rPr>
          <w:rFonts w:ascii="Arial" w:hAnsi="Arial"/>
          <w:sz w:val="20"/>
          <w:szCs w:val="18"/>
        </w:rPr>
        <w:t xml:space="preserve">Article 44 de la loi </w:t>
      </w:r>
      <w:r w:rsidRPr="00414E5A">
        <w:rPr>
          <w:rFonts w:ascii="Arial" w:hAnsi="Arial"/>
          <w:sz w:val="20"/>
          <w:szCs w:val="18"/>
        </w:rPr>
        <w:t>n° 86-33 du 9 janvier 1986 portant dispositions statutaires relatives à la fonction publique hospitalière</w:t>
      </w:r>
    </w:p>
    <w:p w:rsidR="001479DD" w:rsidRPr="00BF785D" w:rsidRDefault="001479DD" w:rsidP="001479DD">
      <w:pPr>
        <w:pStyle w:val="En-tte"/>
        <w:numPr>
          <w:ilvl w:val="0"/>
          <w:numId w:val="3"/>
        </w:numPr>
        <w:tabs>
          <w:tab w:val="left" w:pos="1134"/>
        </w:tabs>
        <w:rPr>
          <w:rFonts w:ascii="Arial" w:hAnsi="Arial"/>
          <w:bCs/>
          <w:sz w:val="20"/>
          <w:szCs w:val="18"/>
        </w:rPr>
      </w:pPr>
      <w:r w:rsidRPr="00BF785D">
        <w:rPr>
          <w:rFonts w:ascii="Arial" w:hAnsi="Arial"/>
          <w:bCs/>
          <w:sz w:val="20"/>
          <w:szCs w:val="18"/>
        </w:rPr>
        <w:t xml:space="preserve">Article 9 de la loi n°83-634 </w:t>
      </w:r>
      <w:r w:rsidR="00BF785D" w:rsidRPr="00BF785D">
        <w:rPr>
          <w:rFonts w:ascii="Arial" w:hAnsi="Arial"/>
          <w:bCs/>
          <w:sz w:val="20"/>
          <w:szCs w:val="18"/>
        </w:rPr>
        <w:t>du 13 juillet 1983 portant droits et obligations des fonctionnaires</w:t>
      </w:r>
      <w:r w:rsidRPr="00BF785D">
        <w:rPr>
          <w:rFonts w:ascii="Arial" w:hAnsi="Arial"/>
          <w:bCs/>
          <w:sz w:val="20"/>
          <w:szCs w:val="18"/>
        </w:rPr>
        <w:t xml:space="preserve"> et article 116-1 de la loi n°86-33 du 9 janvier 1986</w:t>
      </w:r>
      <w:r w:rsidR="00BF785D" w:rsidRPr="00BF785D">
        <w:rPr>
          <w:rFonts w:ascii="Arial" w:hAnsi="Arial"/>
          <w:bCs/>
          <w:sz w:val="20"/>
          <w:szCs w:val="18"/>
        </w:rPr>
        <w:t xml:space="preserve"> portant dispositions statutaires relatives à la fonction publique hospitalière</w:t>
      </w:r>
    </w:p>
    <w:p w:rsidR="001F450A" w:rsidRPr="00DC7ACD" w:rsidRDefault="001F450A" w:rsidP="001F450A">
      <w:pPr>
        <w:pStyle w:val="En-tte"/>
        <w:tabs>
          <w:tab w:val="left" w:pos="1134"/>
        </w:tabs>
        <w:rPr>
          <w:rFonts w:ascii="Arial" w:hAnsi="Arial"/>
          <w:sz w:val="20"/>
          <w:szCs w:val="18"/>
        </w:rPr>
      </w:pPr>
    </w:p>
    <w:sectPr w:rsidR="001F450A" w:rsidRPr="00DC7ACD" w:rsidSect="00091CA4">
      <w:headerReference w:type="default" r:id="rId10"/>
      <w:footerReference w:type="even" r:id="rId11"/>
      <w:footerReference w:type="default" r:id="rId12"/>
      <w:pgSz w:w="11907" w:h="16840" w:code="9"/>
      <w:pgMar w:top="993" w:right="1276" w:bottom="567" w:left="1134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FE" w:rsidRDefault="008807FE" w:rsidP="00414373">
      <w:r>
        <w:separator/>
      </w:r>
    </w:p>
  </w:endnote>
  <w:endnote w:type="continuationSeparator" w:id="0">
    <w:p w:rsidR="008807FE" w:rsidRDefault="008807FE" w:rsidP="0041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81" w:rsidRDefault="002F2F81">
    <w:pPr>
      <w:pStyle w:val="Pieddepage"/>
      <w:ind w:right="360" w:firstLine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81" w:rsidRPr="00091CA4" w:rsidRDefault="00091CA4" w:rsidP="00091CA4">
    <w:pPr>
      <w:pStyle w:val="Pieddepage"/>
      <w:jc w:val="center"/>
      <w:rPr>
        <w:rFonts w:ascii="Arial Narrow" w:hAnsi="Arial Narrow"/>
        <w:b/>
        <w:color w:val="999999"/>
        <w:sz w:val="18"/>
        <w:szCs w:val="18"/>
      </w:rPr>
    </w:pPr>
    <w:r w:rsidRPr="002F2F81">
      <w:rPr>
        <w:rFonts w:ascii="Arial Narrow" w:hAnsi="Arial Narrow"/>
        <w:b/>
        <w:color w:val="999999"/>
        <w:sz w:val="18"/>
        <w:szCs w:val="18"/>
      </w:rPr>
      <w:t>DGAFP / PS2</w:t>
    </w:r>
    <w:r w:rsidRPr="002F2F81">
      <w:rPr>
        <w:rFonts w:ascii="Arial Narrow" w:hAnsi="Arial Narrow"/>
        <w:b/>
        <w:color w:val="999999"/>
        <w:sz w:val="18"/>
        <w:szCs w:val="18"/>
      </w:rPr>
      <w:tab/>
    </w:r>
    <w:r>
      <w:rPr>
        <w:rStyle w:val="Numrodepage"/>
        <w:rFonts w:ascii="Arial Narrow" w:hAnsi="Arial Narrow"/>
        <w:b/>
        <w:color w:val="999999"/>
        <w:sz w:val="18"/>
        <w:szCs w:val="18"/>
      </w:rPr>
      <w:t xml:space="preserve">Version au </w:t>
    </w:r>
    <w:r w:rsidR="009261AF">
      <w:rPr>
        <w:rStyle w:val="Numrodepage"/>
        <w:rFonts w:ascii="Arial Narrow" w:hAnsi="Arial Narrow"/>
        <w:b/>
        <w:color w:val="999999"/>
        <w:sz w:val="18"/>
        <w:szCs w:val="18"/>
      </w:rPr>
      <w:t>02</w:t>
    </w:r>
    <w:r w:rsidR="00A47F5F">
      <w:rPr>
        <w:rStyle w:val="Numrodepage"/>
        <w:rFonts w:ascii="Arial Narrow" w:hAnsi="Arial Narrow"/>
        <w:b/>
        <w:color w:val="999999"/>
        <w:sz w:val="18"/>
        <w:szCs w:val="18"/>
      </w:rPr>
      <w:t>/0</w:t>
    </w:r>
    <w:r w:rsidR="009261AF">
      <w:rPr>
        <w:rStyle w:val="Numrodepage"/>
        <w:rFonts w:ascii="Arial Narrow" w:hAnsi="Arial Narrow"/>
        <w:b/>
        <w:color w:val="999999"/>
        <w:sz w:val="18"/>
        <w:szCs w:val="18"/>
      </w:rPr>
      <w:t>3</w:t>
    </w:r>
    <w:r w:rsidR="00A47F5F">
      <w:rPr>
        <w:rStyle w:val="Numrodepage"/>
        <w:rFonts w:ascii="Arial Narrow" w:hAnsi="Arial Narrow"/>
        <w:b/>
        <w:color w:val="999999"/>
        <w:sz w:val="18"/>
        <w:szCs w:val="18"/>
      </w:rPr>
      <w:t>/2017</w:t>
    </w:r>
    <w:r w:rsidRPr="002F2F81">
      <w:rPr>
        <w:rFonts w:ascii="Arial Narrow" w:hAnsi="Arial Narrow"/>
        <w:b/>
        <w:color w:val="999999"/>
        <w:sz w:val="18"/>
        <w:szCs w:val="18"/>
      </w:rPr>
      <w:tab/>
      <w:t xml:space="preserve">page </w:t>
    </w:r>
    <w:r w:rsidRPr="002F2F81">
      <w:rPr>
        <w:rStyle w:val="Numrodepage"/>
        <w:rFonts w:ascii="Arial Narrow" w:hAnsi="Arial Narrow"/>
        <w:b/>
        <w:color w:val="999999"/>
        <w:sz w:val="18"/>
        <w:szCs w:val="18"/>
      </w:rPr>
      <w:fldChar w:fldCharType="begin"/>
    </w:r>
    <w:r w:rsidRPr="002F2F81">
      <w:rPr>
        <w:rStyle w:val="Numrodepage"/>
        <w:rFonts w:ascii="Arial Narrow" w:hAnsi="Arial Narrow"/>
        <w:b/>
        <w:color w:val="999999"/>
        <w:sz w:val="18"/>
        <w:szCs w:val="18"/>
      </w:rPr>
      <w:instrText xml:space="preserve"> PAGE </w:instrText>
    </w:r>
    <w:r w:rsidRPr="002F2F81">
      <w:rPr>
        <w:rStyle w:val="Numrodepage"/>
        <w:rFonts w:ascii="Arial Narrow" w:hAnsi="Arial Narrow"/>
        <w:b/>
        <w:color w:val="999999"/>
        <w:sz w:val="18"/>
        <w:szCs w:val="18"/>
      </w:rPr>
      <w:fldChar w:fldCharType="separate"/>
    </w:r>
    <w:r w:rsidR="002F2D3D">
      <w:rPr>
        <w:rStyle w:val="Numrodepage"/>
        <w:rFonts w:ascii="Arial Narrow" w:hAnsi="Arial Narrow"/>
        <w:b/>
        <w:noProof/>
        <w:color w:val="999999"/>
        <w:sz w:val="18"/>
        <w:szCs w:val="18"/>
      </w:rPr>
      <w:t>1</w:t>
    </w:r>
    <w:r w:rsidRPr="002F2F81">
      <w:rPr>
        <w:rStyle w:val="Numrodepage"/>
        <w:rFonts w:ascii="Arial Narrow" w:hAnsi="Arial Narrow"/>
        <w:b/>
        <w:color w:val="999999"/>
        <w:sz w:val="18"/>
        <w:szCs w:val="18"/>
      </w:rPr>
      <w:fldChar w:fldCharType="end"/>
    </w:r>
    <w:r w:rsidRPr="002F2F81">
      <w:rPr>
        <w:rStyle w:val="Numrodepage"/>
        <w:rFonts w:ascii="Arial Narrow" w:hAnsi="Arial Narrow"/>
        <w:b/>
        <w:color w:val="999999"/>
        <w:sz w:val="18"/>
        <w:szCs w:val="18"/>
      </w:rPr>
      <w:t xml:space="preserve"> sur </w:t>
    </w:r>
    <w:r w:rsidRPr="002F2F81">
      <w:rPr>
        <w:rStyle w:val="Numrodepage"/>
        <w:rFonts w:ascii="Arial Narrow" w:hAnsi="Arial Narrow"/>
        <w:b/>
        <w:color w:val="999999"/>
        <w:sz w:val="18"/>
        <w:szCs w:val="18"/>
      </w:rPr>
      <w:fldChar w:fldCharType="begin"/>
    </w:r>
    <w:r w:rsidRPr="002F2F81">
      <w:rPr>
        <w:rStyle w:val="Numrodepage"/>
        <w:rFonts w:ascii="Arial Narrow" w:hAnsi="Arial Narrow"/>
        <w:b/>
        <w:color w:val="999999"/>
        <w:sz w:val="18"/>
        <w:szCs w:val="18"/>
      </w:rPr>
      <w:instrText xml:space="preserve"> NUMPAGES </w:instrText>
    </w:r>
    <w:r w:rsidRPr="002F2F81">
      <w:rPr>
        <w:rStyle w:val="Numrodepage"/>
        <w:rFonts w:ascii="Arial Narrow" w:hAnsi="Arial Narrow"/>
        <w:b/>
        <w:color w:val="999999"/>
        <w:sz w:val="18"/>
        <w:szCs w:val="18"/>
      </w:rPr>
      <w:fldChar w:fldCharType="separate"/>
    </w:r>
    <w:r w:rsidR="002F2D3D">
      <w:rPr>
        <w:rStyle w:val="Numrodepage"/>
        <w:rFonts w:ascii="Arial Narrow" w:hAnsi="Arial Narrow"/>
        <w:b/>
        <w:noProof/>
        <w:color w:val="999999"/>
        <w:sz w:val="18"/>
        <w:szCs w:val="18"/>
      </w:rPr>
      <w:t>3</w:t>
    </w:r>
    <w:r w:rsidRPr="002F2F81">
      <w:rPr>
        <w:rStyle w:val="Numrodepage"/>
        <w:rFonts w:ascii="Arial Narrow" w:hAnsi="Arial Narrow"/>
        <w:b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FE" w:rsidRDefault="008807FE" w:rsidP="00414373">
      <w:r>
        <w:separator/>
      </w:r>
    </w:p>
  </w:footnote>
  <w:footnote w:type="continuationSeparator" w:id="0">
    <w:p w:rsidR="008807FE" w:rsidRDefault="008807FE" w:rsidP="0041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81" w:rsidRDefault="002F2F81">
    <w:pPr>
      <w:pStyle w:val="En-tte"/>
      <w:ind w:left="-1418"/>
      <w:jc w:val="center"/>
      <w:rPr>
        <w:caps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FE657CF"/>
    <w:multiLevelType w:val="hybridMultilevel"/>
    <w:tmpl w:val="DF3EEA72"/>
    <w:lvl w:ilvl="0" w:tplc="0DF4C6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D38F2"/>
    <w:multiLevelType w:val="hybridMultilevel"/>
    <w:tmpl w:val="B9E4D9C6"/>
    <w:lvl w:ilvl="0" w:tplc="214E0C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82998"/>
    <w:multiLevelType w:val="hybridMultilevel"/>
    <w:tmpl w:val="1FCC569A"/>
    <w:lvl w:ilvl="0" w:tplc="214E0C3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DA4834"/>
    <w:multiLevelType w:val="hybridMultilevel"/>
    <w:tmpl w:val="E174DC98"/>
    <w:lvl w:ilvl="0" w:tplc="214E0C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33"/>
    <w:rsid w:val="00001AC1"/>
    <w:rsid w:val="00006A73"/>
    <w:rsid w:val="00010B54"/>
    <w:rsid w:val="00013D2F"/>
    <w:rsid w:val="00016736"/>
    <w:rsid w:val="000252FB"/>
    <w:rsid w:val="00027896"/>
    <w:rsid w:val="00031144"/>
    <w:rsid w:val="000345CA"/>
    <w:rsid w:val="0003471C"/>
    <w:rsid w:val="00042B27"/>
    <w:rsid w:val="000438DC"/>
    <w:rsid w:val="00045C76"/>
    <w:rsid w:val="00050787"/>
    <w:rsid w:val="00051FC6"/>
    <w:rsid w:val="00064095"/>
    <w:rsid w:val="00064A94"/>
    <w:rsid w:val="00065497"/>
    <w:rsid w:val="00065A6C"/>
    <w:rsid w:val="00072975"/>
    <w:rsid w:val="00073EA6"/>
    <w:rsid w:val="00082DAE"/>
    <w:rsid w:val="000844D2"/>
    <w:rsid w:val="00087592"/>
    <w:rsid w:val="00091CA4"/>
    <w:rsid w:val="00091FE9"/>
    <w:rsid w:val="00092633"/>
    <w:rsid w:val="000A08C3"/>
    <w:rsid w:val="000A17A3"/>
    <w:rsid w:val="000A57EA"/>
    <w:rsid w:val="000A7CAF"/>
    <w:rsid w:val="000C179E"/>
    <w:rsid w:val="000C3019"/>
    <w:rsid w:val="000C6A0C"/>
    <w:rsid w:val="000D06AA"/>
    <w:rsid w:val="000D1247"/>
    <w:rsid w:val="000D1A5B"/>
    <w:rsid w:val="000E01DD"/>
    <w:rsid w:val="000E2CCD"/>
    <w:rsid w:val="000E6DF7"/>
    <w:rsid w:val="0010233E"/>
    <w:rsid w:val="00104A93"/>
    <w:rsid w:val="0010721D"/>
    <w:rsid w:val="00114D37"/>
    <w:rsid w:val="00115BBC"/>
    <w:rsid w:val="0012148B"/>
    <w:rsid w:val="00121E7B"/>
    <w:rsid w:val="00125EDE"/>
    <w:rsid w:val="00127091"/>
    <w:rsid w:val="0012769D"/>
    <w:rsid w:val="00130E7F"/>
    <w:rsid w:val="0013308A"/>
    <w:rsid w:val="001368F6"/>
    <w:rsid w:val="00137770"/>
    <w:rsid w:val="001407D8"/>
    <w:rsid w:val="001409A0"/>
    <w:rsid w:val="00145474"/>
    <w:rsid w:val="001479DD"/>
    <w:rsid w:val="00157C50"/>
    <w:rsid w:val="001606CD"/>
    <w:rsid w:val="00162FDE"/>
    <w:rsid w:val="00183A44"/>
    <w:rsid w:val="00192088"/>
    <w:rsid w:val="00196A9A"/>
    <w:rsid w:val="00196EE9"/>
    <w:rsid w:val="001A0E65"/>
    <w:rsid w:val="001A11B6"/>
    <w:rsid w:val="001A2BC8"/>
    <w:rsid w:val="001B458C"/>
    <w:rsid w:val="001C132F"/>
    <w:rsid w:val="001C4D13"/>
    <w:rsid w:val="001C64A9"/>
    <w:rsid w:val="001C719C"/>
    <w:rsid w:val="001D4312"/>
    <w:rsid w:val="001D66A1"/>
    <w:rsid w:val="001D7040"/>
    <w:rsid w:val="001E0578"/>
    <w:rsid w:val="001E245B"/>
    <w:rsid w:val="001F05C9"/>
    <w:rsid w:val="001F18E1"/>
    <w:rsid w:val="001F1F03"/>
    <w:rsid w:val="001F450A"/>
    <w:rsid w:val="001F4AB9"/>
    <w:rsid w:val="002063DE"/>
    <w:rsid w:val="00206512"/>
    <w:rsid w:val="00207596"/>
    <w:rsid w:val="00214CE4"/>
    <w:rsid w:val="002150D4"/>
    <w:rsid w:val="00216399"/>
    <w:rsid w:val="00216C93"/>
    <w:rsid w:val="00216D39"/>
    <w:rsid w:val="00222B5F"/>
    <w:rsid w:val="002231D0"/>
    <w:rsid w:val="00224570"/>
    <w:rsid w:val="00234025"/>
    <w:rsid w:val="00263717"/>
    <w:rsid w:val="00263C5B"/>
    <w:rsid w:val="00265835"/>
    <w:rsid w:val="00266D13"/>
    <w:rsid w:val="00270538"/>
    <w:rsid w:val="0028416F"/>
    <w:rsid w:val="00285F80"/>
    <w:rsid w:val="0029082A"/>
    <w:rsid w:val="00293835"/>
    <w:rsid w:val="00297923"/>
    <w:rsid w:val="002A7422"/>
    <w:rsid w:val="002B4D4F"/>
    <w:rsid w:val="002B587E"/>
    <w:rsid w:val="002B780B"/>
    <w:rsid w:val="002C1D53"/>
    <w:rsid w:val="002D210A"/>
    <w:rsid w:val="002D2F34"/>
    <w:rsid w:val="002D401A"/>
    <w:rsid w:val="002D668F"/>
    <w:rsid w:val="002E06E6"/>
    <w:rsid w:val="002E0F47"/>
    <w:rsid w:val="002E3154"/>
    <w:rsid w:val="002E3EA0"/>
    <w:rsid w:val="002E550F"/>
    <w:rsid w:val="002E6C9D"/>
    <w:rsid w:val="002F2CA1"/>
    <w:rsid w:val="002F2D3D"/>
    <w:rsid w:val="002F2F81"/>
    <w:rsid w:val="002F3DE3"/>
    <w:rsid w:val="002F4B4C"/>
    <w:rsid w:val="003012D3"/>
    <w:rsid w:val="00302D19"/>
    <w:rsid w:val="00303459"/>
    <w:rsid w:val="003045F7"/>
    <w:rsid w:val="00304663"/>
    <w:rsid w:val="00307A5B"/>
    <w:rsid w:val="003132B9"/>
    <w:rsid w:val="003134DE"/>
    <w:rsid w:val="0032270C"/>
    <w:rsid w:val="003262D5"/>
    <w:rsid w:val="00331862"/>
    <w:rsid w:val="00341278"/>
    <w:rsid w:val="00341E81"/>
    <w:rsid w:val="00343C22"/>
    <w:rsid w:val="0035496C"/>
    <w:rsid w:val="00374D2B"/>
    <w:rsid w:val="00375218"/>
    <w:rsid w:val="00376060"/>
    <w:rsid w:val="00385F1D"/>
    <w:rsid w:val="00386B74"/>
    <w:rsid w:val="00386D29"/>
    <w:rsid w:val="0038779F"/>
    <w:rsid w:val="0039105D"/>
    <w:rsid w:val="00395259"/>
    <w:rsid w:val="003A373B"/>
    <w:rsid w:val="003A39AF"/>
    <w:rsid w:val="003A7CA9"/>
    <w:rsid w:val="003B2E9F"/>
    <w:rsid w:val="003B5CA3"/>
    <w:rsid w:val="003C27A7"/>
    <w:rsid w:val="003C3572"/>
    <w:rsid w:val="003C776F"/>
    <w:rsid w:val="003D04B2"/>
    <w:rsid w:val="003D37C2"/>
    <w:rsid w:val="003D6B33"/>
    <w:rsid w:val="003E0752"/>
    <w:rsid w:val="003E260B"/>
    <w:rsid w:val="003E6EF9"/>
    <w:rsid w:val="003F03D9"/>
    <w:rsid w:val="003F167E"/>
    <w:rsid w:val="003F26F1"/>
    <w:rsid w:val="003F708C"/>
    <w:rsid w:val="0040109A"/>
    <w:rsid w:val="004055AD"/>
    <w:rsid w:val="004067C8"/>
    <w:rsid w:val="00406CF7"/>
    <w:rsid w:val="00413F93"/>
    <w:rsid w:val="00414373"/>
    <w:rsid w:val="00414E5A"/>
    <w:rsid w:val="004257ED"/>
    <w:rsid w:val="0043356A"/>
    <w:rsid w:val="004416FF"/>
    <w:rsid w:val="00450CE0"/>
    <w:rsid w:val="00452C8B"/>
    <w:rsid w:val="004534AE"/>
    <w:rsid w:val="00454811"/>
    <w:rsid w:val="00454BE6"/>
    <w:rsid w:val="0045503D"/>
    <w:rsid w:val="0046383B"/>
    <w:rsid w:val="00472F89"/>
    <w:rsid w:val="00474F23"/>
    <w:rsid w:val="004756BB"/>
    <w:rsid w:val="00476173"/>
    <w:rsid w:val="0047631F"/>
    <w:rsid w:val="004910B1"/>
    <w:rsid w:val="0049379C"/>
    <w:rsid w:val="00495F26"/>
    <w:rsid w:val="00497A98"/>
    <w:rsid w:val="004A68B2"/>
    <w:rsid w:val="004B1A1E"/>
    <w:rsid w:val="004B3B64"/>
    <w:rsid w:val="004B4582"/>
    <w:rsid w:val="004B5B11"/>
    <w:rsid w:val="004C593B"/>
    <w:rsid w:val="004C65F2"/>
    <w:rsid w:val="004E1D13"/>
    <w:rsid w:val="004E2DCA"/>
    <w:rsid w:val="004E4291"/>
    <w:rsid w:val="004E77CB"/>
    <w:rsid w:val="004F15CC"/>
    <w:rsid w:val="004F2174"/>
    <w:rsid w:val="004F60CE"/>
    <w:rsid w:val="004F67AA"/>
    <w:rsid w:val="005004A8"/>
    <w:rsid w:val="00503DF1"/>
    <w:rsid w:val="00507929"/>
    <w:rsid w:val="00511F17"/>
    <w:rsid w:val="00516F36"/>
    <w:rsid w:val="00517D7B"/>
    <w:rsid w:val="005243A3"/>
    <w:rsid w:val="005258EE"/>
    <w:rsid w:val="005268D0"/>
    <w:rsid w:val="00530B9C"/>
    <w:rsid w:val="005340E4"/>
    <w:rsid w:val="00536FC5"/>
    <w:rsid w:val="00542430"/>
    <w:rsid w:val="00553B8E"/>
    <w:rsid w:val="00560B82"/>
    <w:rsid w:val="0056138C"/>
    <w:rsid w:val="0057096F"/>
    <w:rsid w:val="00572B31"/>
    <w:rsid w:val="00573ED7"/>
    <w:rsid w:val="00576F37"/>
    <w:rsid w:val="005877C7"/>
    <w:rsid w:val="005930CE"/>
    <w:rsid w:val="005975BA"/>
    <w:rsid w:val="00597738"/>
    <w:rsid w:val="005B45AA"/>
    <w:rsid w:val="005C380B"/>
    <w:rsid w:val="005C76F0"/>
    <w:rsid w:val="005E6107"/>
    <w:rsid w:val="005F30F6"/>
    <w:rsid w:val="005F4902"/>
    <w:rsid w:val="0060378E"/>
    <w:rsid w:val="00610B81"/>
    <w:rsid w:val="0061354E"/>
    <w:rsid w:val="00621876"/>
    <w:rsid w:val="006252F6"/>
    <w:rsid w:val="0063315D"/>
    <w:rsid w:val="00635803"/>
    <w:rsid w:val="00653F4A"/>
    <w:rsid w:val="0065735E"/>
    <w:rsid w:val="006656C1"/>
    <w:rsid w:val="00671C90"/>
    <w:rsid w:val="006768B0"/>
    <w:rsid w:val="00686BAF"/>
    <w:rsid w:val="00694481"/>
    <w:rsid w:val="00694EB6"/>
    <w:rsid w:val="006A539C"/>
    <w:rsid w:val="006B3B42"/>
    <w:rsid w:val="006B4180"/>
    <w:rsid w:val="006C0B12"/>
    <w:rsid w:val="006C7A69"/>
    <w:rsid w:val="006E043D"/>
    <w:rsid w:val="006E0AA4"/>
    <w:rsid w:val="006E4F6F"/>
    <w:rsid w:val="006E5C7F"/>
    <w:rsid w:val="006E793B"/>
    <w:rsid w:val="006F17E5"/>
    <w:rsid w:val="006F3A18"/>
    <w:rsid w:val="0070523C"/>
    <w:rsid w:val="00711610"/>
    <w:rsid w:val="00713CB5"/>
    <w:rsid w:val="00721423"/>
    <w:rsid w:val="00724805"/>
    <w:rsid w:val="00732DF3"/>
    <w:rsid w:val="0074311E"/>
    <w:rsid w:val="007431B5"/>
    <w:rsid w:val="00744490"/>
    <w:rsid w:val="0074525F"/>
    <w:rsid w:val="007511D8"/>
    <w:rsid w:val="0075207B"/>
    <w:rsid w:val="007629F7"/>
    <w:rsid w:val="00763D86"/>
    <w:rsid w:val="007675C4"/>
    <w:rsid w:val="007703AC"/>
    <w:rsid w:val="007708DA"/>
    <w:rsid w:val="00782673"/>
    <w:rsid w:val="00785218"/>
    <w:rsid w:val="0078626B"/>
    <w:rsid w:val="00790033"/>
    <w:rsid w:val="00797E31"/>
    <w:rsid w:val="007A4F3A"/>
    <w:rsid w:val="007B3E78"/>
    <w:rsid w:val="007B45D9"/>
    <w:rsid w:val="007C39A9"/>
    <w:rsid w:val="007C3B85"/>
    <w:rsid w:val="007C5032"/>
    <w:rsid w:val="007D1DA7"/>
    <w:rsid w:val="007D2543"/>
    <w:rsid w:val="007D4589"/>
    <w:rsid w:val="007D4C33"/>
    <w:rsid w:val="007D4F1C"/>
    <w:rsid w:val="007E5EB6"/>
    <w:rsid w:val="007E6EB7"/>
    <w:rsid w:val="007E7552"/>
    <w:rsid w:val="007F3A06"/>
    <w:rsid w:val="00801599"/>
    <w:rsid w:val="00805DE2"/>
    <w:rsid w:val="00811B22"/>
    <w:rsid w:val="00815F41"/>
    <w:rsid w:val="00822DFE"/>
    <w:rsid w:val="00825C1D"/>
    <w:rsid w:val="00825E25"/>
    <w:rsid w:val="00832C07"/>
    <w:rsid w:val="00841E26"/>
    <w:rsid w:val="00845F73"/>
    <w:rsid w:val="00864B7F"/>
    <w:rsid w:val="008651AA"/>
    <w:rsid w:val="00870087"/>
    <w:rsid w:val="00872526"/>
    <w:rsid w:val="00876143"/>
    <w:rsid w:val="008807FE"/>
    <w:rsid w:val="00883489"/>
    <w:rsid w:val="008875DA"/>
    <w:rsid w:val="008876B1"/>
    <w:rsid w:val="008A07D8"/>
    <w:rsid w:val="008A4035"/>
    <w:rsid w:val="008A66F9"/>
    <w:rsid w:val="008B0C9F"/>
    <w:rsid w:val="008B2236"/>
    <w:rsid w:val="008B2787"/>
    <w:rsid w:val="008B6A83"/>
    <w:rsid w:val="008B77F5"/>
    <w:rsid w:val="008C2D84"/>
    <w:rsid w:val="008C4CCC"/>
    <w:rsid w:val="008D1007"/>
    <w:rsid w:val="008D359C"/>
    <w:rsid w:val="008F0178"/>
    <w:rsid w:val="008F25DD"/>
    <w:rsid w:val="0090625C"/>
    <w:rsid w:val="009102E3"/>
    <w:rsid w:val="0091249B"/>
    <w:rsid w:val="0091639C"/>
    <w:rsid w:val="009259AA"/>
    <w:rsid w:val="009261AF"/>
    <w:rsid w:val="00927A29"/>
    <w:rsid w:val="00927D9C"/>
    <w:rsid w:val="0094450C"/>
    <w:rsid w:val="009456B1"/>
    <w:rsid w:val="00954B7E"/>
    <w:rsid w:val="00963B54"/>
    <w:rsid w:val="0096559D"/>
    <w:rsid w:val="00967AD5"/>
    <w:rsid w:val="00970E34"/>
    <w:rsid w:val="00971042"/>
    <w:rsid w:val="009847D7"/>
    <w:rsid w:val="00993A3E"/>
    <w:rsid w:val="009952B7"/>
    <w:rsid w:val="009A19D2"/>
    <w:rsid w:val="009B296B"/>
    <w:rsid w:val="009C2365"/>
    <w:rsid w:val="009C3318"/>
    <w:rsid w:val="009C3C66"/>
    <w:rsid w:val="009C6DF1"/>
    <w:rsid w:val="009D577A"/>
    <w:rsid w:val="009E047E"/>
    <w:rsid w:val="009E1D3B"/>
    <w:rsid w:val="009E281D"/>
    <w:rsid w:val="009E310E"/>
    <w:rsid w:val="009E6F6F"/>
    <w:rsid w:val="00A1242B"/>
    <w:rsid w:val="00A17190"/>
    <w:rsid w:val="00A225AA"/>
    <w:rsid w:val="00A27D1B"/>
    <w:rsid w:val="00A327A6"/>
    <w:rsid w:val="00A338C5"/>
    <w:rsid w:val="00A33F30"/>
    <w:rsid w:val="00A3424C"/>
    <w:rsid w:val="00A47F5F"/>
    <w:rsid w:val="00A52B36"/>
    <w:rsid w:val="00A561A4"/>
    <w:rsid w:val="00A56FCC"/>
    <w:rsid w:val="00A57290"/>
    <w:rsid w:val="00A61885"/>
    <w:rsid w:val="00A65537"/>
    <w:rsid w:val="00A6616B"/>
    <w:rsid w:val="00A74303"/>
    <w:rsid w:val="00A75EC9"/>
    <w:rsid w:val="00A824F6"/>
    <w:rsid w:val="00A833EF"/>
    <w:rsid w:val="00A945FA"/>
    <w:rsid w:val="00A9710D"/>
    <w:rsid w:val="00A97730"/>
    <w:rsid w:val="00AA7AAB"/>
    <w:rsid w:val="00AB57CF"/>
    <w:rsid w:val="00AC0120"/>
    <w:rsid w:val="00AC4C67"/>
    <w:rsid w:val="00AC528F"/>
    <w:rsid w:val="00AD18D1"/>
    <w:rsid w:val="00AD4FF2"/>
    <w:rsid w:val="00AD50D0"/>
    <w:rsid w:val="00AE3C4D"/>
    <w:rsid w:val="00AE546F"/>
    <w:rsid w:val="00AF1210"/>
    <w:rsid w:val="00B02AB4"/>
    <w:rsid w:val="00B12979"/>
    <w:rsid w:val="00B14055"/>
    <w:rsid w:val="00B213AD"/>
    <w:rsid w:val="00B23E8D"/>
    <w:rsid w:val="00B30349"/>
    <w:rsid w:val="00B30572"/>
    <w:rsid w:val="00B32C06"/>
    <w:rsid w:val="00B36D0C"/>
    <w:rsid w:val="00B36F3C"/>
    <w:rsid w:val="00B42776"/>
    <w:rsid w:val="00B43AB4"/>
    <w:rsid w:val="00B51E52"/>
    <w:rsid w:val="00B55F4E"/>
    <w:rsid w:val="00B61F32"/>
    <w:rsid w:val="00B6357D"/>
    <w:rsid w:val="00B65697"/>
    <w:rsid w:val="00B658F8"/>
    <w:rsid w:val="00B667A5"/>
    <w:rsid w:val="00B85E36"/>
    <w:rsid w:val="00B8619D"/>
    <w:rsid w:val="00B91D08"/>
    <w:rsid w:val="00B96C92"/>
    <w:rsid w:val="00BA1B9A"/>
    <w:rsid w:val="00BA5AFA"/>
    <w:rsid w:val="00BA76A3"/>
    <w:rsid w:val="00BC0F49"/>
    <w:rsid w:val="00BC370D"/>
    <w:rsid w:val="00BC5F1C"/>
    <w:rsid w:val="00BD4B03"/>
    <w:rsid w:val="00BD4D71"/>
    <w:rsid w:val="00BE63C5"/>
    <w:rsid w:val="00BE6DBC"/>
    <w:rsid w:val="00BF049F"/>
    <w:rsid w:val="00BF072D"/>
    <w:rsid w:val="00BF5C18"/>
    <w:rsid w:val="00BF785D"/>
    <w:rsid w:val="00C04E3C"/>
    <w:rsid w:val="00C05CC0"/>
    <w:rsid w:val="00C06681"/>
    <w:rsid w:val="00C076C7"/>
    <w:rsid w:val="00C1534C"/>
    <w:rsid w:val="00C16B56"/>
    <w:rsid w:val="00C2064D"/>
    <w:rsid w:val="00C242C1"/>
    <w:rsid w:val="00C25E59"/>
    <w:rsid w:val="00C26BD6"/>
    <w:rsid w:val="00C32C33"/>
    <w:rsid w:val="00C36D8A"/>
    <w:rsid w:val="00C41AFB"/>
    <w:rsid w:val="00C4412D"/>
    <w:rsid w:val="00C44B1C"/>
    <w:rsid w:val="00C516D3"/>
    <w:rsid w:val="00C51B18"/>
    <w:rsid w:val="00C56B0C"/>
    <w:rsid w:val="00C56F69"/>
    <w:rsid w:val="00C60ED4"/>
    <w:rsid w:val="00C76435"/>
    <w:rsid w:val="00C80415"/>
    <w:rsid w:val="00C84C9E"/>
    <w:rsid w:val="00C8543D"/>
    <w:rsid w:val="00C91293"/>
    <w:rsid w:val="00C9181D"/>
    <w:rsid w:val="00C92AE4"/>
    <w:rsid w:val="00C949D7"/>
    <w:rsid w:val="00CA09DA"/>
    <w:rsid w:val="00CC3AD6"/>
    <w:rsid w:val="00CC49D0"/>
    <w:rsid w:val="00CD2FD5"/>
    <w:rsid w:val="00CD4131"/>
    <w:rsid w:val="00CE02EC"/>
    <w:rsid w:val="00CE0AF8"/>
    <w:rsid w:val="00CE7E48"/>
    <w:rsid w:val="00CF2AD4"/>
    <w:rsid w:val="00CF63F3"/>
    <w:rsid w:val="00CF6E43"/>
    <w:rsid w:val="00D02462"/>
    <w:rsid w:val="00D1290D"/>
    <w:rsid w:val="00D12F9B"/>
    <w:rsid w:val="00D340EF"/>
    <w:rsid w:val="00D55E21"/>
    <w:rsid w:val="00D57235"/>
    <w:rsid w:val="00D57323"/>
    <w:rsid w:val="00D5763C"/>
    <w:rsid w:val="00D7444E"/>
    <w:rsid w:val="00D76A9D"/>
    <w:rsid w:val="00D85678"/>
    <w:rsid w:val="00D85790"/>
    <w:rsid w:val="00D86BD9"/>
    <w:rsid w:val="00D9021A"/>
    <w:rsid w:val="00DA07B4"/>
    <w:rsid w:val="00DA1161"/>
    <w:rsid w:val="00DA5B52"/>
    <w:rsid w:val="00DB3CF1"/>
    <w:rsid w:val="00DC50B6"/>
    <w:rsid w:val="00DC7ACD"/>
    <w:rsid w:val="00DD03B1"/>
    <w:rsid w:val="00DD1E3A"/>
    <w:rsid w:val="00DD26C7"/>
    <w:rsid w:val="00DD43BC"/>
    <w:rsid w:val="00DD54C2"/>
    <w:rsid w:val="00DE1039"/>
    <w:rsid w:val="00DE5033"/>
    <w:rsid w:val="00DF583D"/>
    <w:rsid w:val="00DF5A32"/>
    <w:rsid w:val="00E01CB4"/>
    <w:rsid w:val="00E02666"/>
    <w:rsid w:val="00E02B82"/>
    <w:rsid w:val="00E11A6C"/>
    <w:rsid w:val="00E14221"/>
    <w:rsid w:val="00E202F6"/>
    <w:rsid w:val="00E21272"/>
    <w:rsid w:val="00E24C3A"/>
    <w:rsid w:val="00E2711E"/>
    <w:rsid w:val="00E33BB4"/>
    <w:rsid w:val="00E33EDC"/>
    <w:rsid w:val="00E540A4"/>
    <w:rsid w:val="00E54552"/>
    <w:rsid w:val="00E62538"/>
    <w:rsid w:val="00E62C99"/>
    <w:rsid w:val="00E70E59"/>
    <w:rsid w:val="00E77599"/>
    <w:rsid w:val="00E8245D"/>
    <w:rsid w:val="00E850AA"/>
    <w:rsid w:val="00E90D2D"/>
    <w:rsid w:val="00E918F4"/>
    <w:rsid w:val="00E920D7"/>
    <w:rsid w:val="00E96046"/>
    <w:rsid w:val="00E97D06"/>
    <w:rsid w:val="00EA35E7"/>
    <w:rsid w:val="00EA3CA1"/>
    <w:rsid w:val="00EA61A7"/>
    <w:rsid w:val="00EA69E1"/>
    <w:rsid w:val="00EB01A4"/>
    <w:rsid w:val="00EB1227"/>
    <w:rsid w:val="00EB32E5"/>
    <w:rsid w:val="00EC3444"/>
    <w:rsid w:val="00EC4161"/>
    <w:rsid w:val="00EC4AFE"/>
    <w:rsid w:val="00ED0726"/>
    <w:rsid w:val="00ED3760"/>
    <w:rsid w:val="00ED719D"/>
    <w:rsid w:val="00EE2CCD"/>
    <w:rsid w:val="00EE6E47"/>
    <w:rsid w:val="00EF4D3C"/>
    <w:rsid w:val="00F076E4"/>
    <w:rsid w:val="00F1115C"/>
    <w:rsid w:val="00F13042"/>
    <w:rsid w:val="00F15ACE"/>
    <w:rsid w:val="00F20BDD"/>
    <w:rsid w:val="00F25EAA"/>
    <w:rsid w:val="00F3420E"/>
    <w:rsid w:val="00F34B18"/>
    <w:rsid w:val="00F34D6C"/>
    <w:rsid w:val="00F4420F"/>
    <w:rsid w:val="00F51B13"/>
    <w:rsid w:val="00F53DA8"/>
    <w:rsid w:val="00F63146"/>
    <w:rsid w:val="00F63CBC"/>
    <w:rsid w:val="00F771C1"/>
    <w:rsid w:val="00F81A7B"/>
    <w:rsid w:val="00F8416C"/>
    <w:rsid w:val="00F861C6"/>
    <w:rsid w:val="00F875FB"/>
    <w:rsid w:val="00F90239"/>
    <w:rsid w:val="00F9061B"/>
    <w:rsid w:val="00F95BBA"/>
    <w:rsid w:val="00FA03D9"/>
    <w:rsid w:val="00FB1814"/>
    <w:rsid w:val="00FB550E"/>
    <w:rsid w:val="00FE09CD"/>
    <w:rsid w:val="00FE2457"/>
    <w:rsid w:val="00FE3150"/>
    <w:rsid w:val="00FE36D6"/>
    <w:rsid w:val="00FE45B7"/>
    <w:rsid w:val="00FE70F5"/>
    <w:rsid w:val="00FF0548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C2B9A17-2F4E-4377-AD06-D0C2CD19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4221"/>
    <w:pPr>
      <w:jc w:val="both"/>
    </w:pPr>
    <w:rPr>
      <w:sz w:val="24"/>
    </w:rPr>
  </w:style>
  <w:style w:type="paragraph" w:styleId="Titre3">
    <w:name w:val="heading 3"/>
    <w:basedOn w:val="Normal"/>
    <w:next w:val="Normal"/>
    <w:qFormat/>
    <w:rsid w:val="003262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14221"/>
    <w:pPr>
      <w:jc w:val="left"/>
    </w:pPr>
    <w:rPr>
      <w:rFonts w:ascii="Arial Narrow" w:hAnsi="Arial Narrow"/>
      <w:sz w:val="16"/>
    </w:rPr>
  </w:style>
  <w:style w:type="paragraph" w:styleId="En-tte">
    <w:name w:val="header"/>
    <w:basedOn w:val="Normal"/>
    <w:link w:val="En-tteCar"/>
    <w:rsid w:val="00E142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4221"/>
    <w:pPr>
      <w:tabs>
        <w:tab w:val="center" w:pos="4536"/>
        <w:tab w:val="right" w:pos="9072"/>
      </w:tabs>
    </w:pPr>
  </w:style>
  <w:style w:type="character" w:styleId="Numrodepage">
    <w:name w:val="page number"/>
    <w:rsid w:val="00E14221"/>
    <w:rPr>
      <w:rFonts w:cs="Times New Roman"/>
    </w:rPr>
  </w:style>
  <w:style w:type="paragraph" w:styleId="Textedebulles">
    <w:name w:val="Balloon Text"/>
    <w:basedOn w:val="Normal"/>
    <w:semiHidden/>
    <w:rsid w:val="00130E7F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"/>
    <w:rsid w:val="00C04E3C"/>
    <w:pPr>
      <w:spacing w:before="100" w:beforeAutospacing="1" w:after="100" w:afterAutospacing="1"/>
      <w:jc w:val="center"/>
    </w:pPr>
    <w:rPr>
      <w:szCs w:val="24"/>
    </w:rPr>
  </w:style>
  <w:style w:type="paragraph" w:customStyle="1" w:styleId="Car1CharCarCharCarCharCarCarCar">
    <w:name w:val="Car1 Char Car Char Car Char Car Car Car"/>
    <w:basedOn w:val="Normal"/>
    <w:rsid w:val="006E4F6F"/>
    <w:pPr>
      <w:spacing w:before="60" w:after="160" w:line="240" w:lineRule="exact"/>
    </w:pPr>
    <w:rPr>
      <w:rFonts w:ascii="Verdana" w:hAnsi="Verdana" w:cs="Tahoma"/>
      <w:sz w:val="22"/>
      <w:lang w:val="en-US" w:eastAsia="zh-CN"/>
    </w:rPr>
  </w:style>
  <w:style w:type="character" w:customStyle="1" w:styleId="En-tteCar">
    <w:name w:val="En-tête Car"/>
    <w:link w:val="En-tte"/>
    <w:rsid w:val="006E4F6F"/>
    <w:rPr>
      <w:sz w:val="24"/>
      <w:lang w:val="fr-FR" w:eastAsia="fr-FR" w:bidi="ar-SA"/>
    </w:rPr>
  </w:style>
  <w:style w:type="character" w:styleId="Marquedecommentaire">
    <w:name w:val="annotation reference"/>
    <w:semiHidden/>
    <w:rsid w:val="0012148B"/>
    <w:rPr>
      <w:sz w:val="16"/>
      <w:szCs w:val="16"/>
    </w:rPr>
  </w:style>
  <w:style w:type="paragraph" w:styleId="Commentaire">
    <w:name w:val="annotation text"/>
    <w:basedOn w:val="Normal"/>
    <w:semiHidden/>
    <w:rsid w:val="0012148B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2148B"/>
    <w:rPr>
      <w:b/>
      <w:bCs/>
    </w:rPr>
  </w:style>
  <w:style w:type="paragraph" w:styleId="Explorateurdedocuments">
    <w:name w:val="Document Map"/>
    <w:basedOn w:val="Normal"/>
    <w:semiHidden/>
    <w:rsid w:val="001E0578"/>
    <w:pPr>
      <w:shd w:val="clear" w:color="auto" w:fill="000080"/>
    </w:pPr>
    <w:rPr>
      <w:rFonts w:ascii="Tahoma" w:hAnsi="Tahoma" w:cs="Tahoma"/>
    </w:rPr>
  </w:style>
  <w:style w:type="paragraph" w:customStyle="1" w:styleId="Titre2">
    <w:name w:val="Titre2"/>
    <w:basedOn w:val="Normal"/>
    <w:rsid w:val="00E850AA"/>
    <w:pPr>
      <w:spacing w:after="160" w:line="240" w:lineRule="exact"/>
      <w:jc w:val="left"/>
    </w:pPr>
    <w:rPr>
      <w:rFonts w:ascii="Arial" w:hAnsi="Arial" w:cs="Verdana"/>
      <w:i/>
      <w:sz w:val="22"/>
      <w:szCs w:val="22"/>
      <w:lang w:val="en-US" w:eastAsia="en-US" w:bidi="km-KH"/>
    </w:rPr>
  </w:style>
  <w:style w:type="paragraph" w:styleId="NormalWeb">
    <w:name w:val="Normal (Web)"/>
    <w:basedOn w:val="Normal"/>
    <w:rsid w:val="00E850AA"/>
    <w:pPr>
      <w:spacing w:before="100" w:beforeAutospacing="1"/>
      <w:jc w:val="left"/>
    </w:pPr>
    <w:rPr>
      <w:color w:val="000000"/>
      <w:szCs w:val="24"/>
    </w:rPr>
  </w:style>
  <w:style w:type="paragraph" w:customStyle="1" w:styleId="1CarCarCar">
    <w:name w:val="1 Car Car Car"/>
    <w:basedOn w:val="Normal"/>
    <w:rsid w:val="00E850AA"/>
    <w:pPr>
      <w:widowControl w:val="0"/>
    </w:pPr>
    <w:rPr>
      <w:rFonts w:ascii="Tahoma" w:eastAsia="SimSun" w:hAnsi="Tahoma"/>
      <w:kern w:val="2"/>
      <w:lang w:val="en-US" w:eastAsia="zh-CN"/>
    </w:rPr>
  </w:style>
  <w:style w:type="paragraph" w:customStyle="1" w:styleId="western">
    <w:name w:val="western"/>
    <w:basedOn w:val="Normal"/>
    <w:rsid w:val="00E850AA"/>
    <w:pPr>
      <w:spacing w:before="100" w:beforeAutospacing="1"/>
      <w:jc w:val="left"/>
    </w:pPr>
    <w:rPr>
      <w:rFonts w:ascii="Arial Narrow" w:hAnsi="Arial Narrow"/>
      <w:color w:val="000000"/>
      <w:sz w:val="16"/>
      <w:szCs w:val="16"/>
    </w:rPr>
  </w:style>
  <w:style w:type="paragraph" w:customStyle="1" w:styleId="CarCar1CarCarCar">
    <w:name w:val="Car Car1 Car Car Car"/>
    <w:basedOn w:val="Normal"/>
    <w:rsid w:val="00C8543D"/>
    <w:pPr>
      <w:widowControl w:val="0"/>
    </w:pPr>
    <w:rPr>
      <w:rFonts w:ascii="Tahoma" w:eastAsia="SimSun" w:hAnsi="Tahoma"/>
      <w:kern w:val="2"/>
      <w:lang w:val="en-US" w:eastAsia="zh-CN"/>
    </w:rPr>
  </w:style>
  <w:style w:type="table" w:styleId="Grilledutableau">
    <w:name w:val="Table Grid"/>
    <w:basedOn w:val="TableauNormal"/>
    <w:rsid w:val="00C8543D"/>
    <w:pPr>
      <w:suppressAutoHyphens/>
      <w:spacing w:after="17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1">
    <w:name w:val="Car1"/>
    <w:semiHidden/>
    <w:rsid w:val="000E01DD"/>
    <w:rPr>
      <w:sz w:val="24"/>
      <w:lang w:val="fr-FR" w:eastAsia="fr-FR" w:bidi="ar-SA"/>
    </w:rPr>
  </w:style>
  <w:style w:type="character" w:styleId="lev">
    <w:name w:val="Strong"/>
    <w:uiPriority w:val="22"/>
    <w:qFormat/>
    <w:rsid w:val="009C3318"/>
    <w:rPr>
      <w:b/>
      <w:bCs/>
    </w:rPr>
  </w:style>
  <w:style w:type="paragraph" w:customStyle="1" w:styleId="CarCar">
    <w:name w:val="Car Car"/>
    <w:basedOn w:val="Normal"/>
    <w:rsid w:val="0060378E"/>
    <w:pPr>
      <w:spacing w:before="60" w:after="160" w:line="240" w:lineRule="exact"/>
    </w:pPr>
    <w:rPr>
      <w:rFonts w:ascii="Verdana" w:hAnsi="Verdana" w:cs="Tahoma"/>
      <w:sz w:val="22"/>
      <w:lang w:val="en-US" w:eastAsia="zh-CN"/>
    </w:rPr>
  </w:style>
  <w:style w:type="paragraph" w:customStyle="1" w:styleId="texteretrait">
    <w:name w:val="texte retrait"/>
    <w:basedOn w:val="Normal"/>
    <w:rsid w:val="00A17190"/>
    <w:pPr>
      <w:spacing w:before="240"/>
      <w:ind w:firstLine="709"/>
    </w:pPr>
    <w:rPr>
      <w:rFonts w:ascii="CG Times" w:hAnsi="CG Times"/>
      <w:sz w:val="22"/>
    </w:rPr>
  </w:style>
  <w:style w:type="character" w:customStyle="1" w:styleId="Marquedecommentaire1">
    <w:name w:val="Marque de commentaire1"/>
    <w:rsid w:val="003262D5"/>
    <w:rPr>
      <w:sz w:val="16"/>
      <w:szCs w:val="16"/>
    </w:rPr>
  </w:style>
  <w:style w:type="character" w:styleId="Accentuation">
    <w:name w:val="Emphasis"/>
    <w:qFormat/>
    <w:rsid w:val="00214CE4"/>
    <w:rPr>
      <w:i/>
      <w:iCs/>
    </w:rPr>
  </w:style>
  <w:style w:type="character" w:styleId="Lienhypertexte">
    <w:name w:val="Hyperlink"/>
    <w:rsid w:val="00553B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1A5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1A5B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1A5B"/>
  </w:style>
  <w:style w:type="character" w:styleId="Appelnotedebasdep">
    <w:name w:val="footnote reference"/>
    <w:basedOn w:val="Policepardfaut"/>
    <w:uiPriority w:val="99"/>
    <w:semiHidden/>
    <w:unhideWhenUsed/>
    <w:rsid w:val="000D1A5B"/>
    <w:rPr>
      <w:vertAlign w:val="superscript"/>
    </w:rPr>
  </w:style>
  <w:style w:type="table" w:styleId="Tramemoyenne1-Accent1">
    <w:name w:val="Medium Shading 1 Accent 1"/>
    <w:basedOn w:val="TableauNormal"/>
    <w:uiPriority w:val="63"/>
    <w:rsid w:val="004B3B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06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336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798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93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253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5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15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.banque-france.fr/fileadmin/user_upload/acp/Agrements_et_autorisations/Listes_assurances/201205-Liste-des-prestataires-habilites_doc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lectivites-locales.gouv.fr/protection-sociale-complementair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Fiche_J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4A66-E6B7-4800-9F12-E18BB4D1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Fiche_JC.dot</Template>
  <TotalTime>0</TotalTime>
  <Pages>3</Pages>
  <Words>1627</Words>
  <Characters>8949</Characters>
  <Application>Microsoft Office Word</Application>
  <DocSecurity>4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11 décembre 2001</vt:lpstr>
    </vt:vector>
  </TitlesOfParts>
  <Company>SPM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11 décembre 2001</dc:title>
  <dc:creator>COMBOT Julien</dc:creator>
  <cp:lastModifiedBy>Evelyne Parrot</cp:lastModifiedBy>
  <cp:revision>2</cp:revision>
  <cp:lastPrinted>2017-03-02T13:11:00Z</cp:lastPrinted>
  <dcterms:created xsi:type="dcterms:W3CDTF">2017-06-21T09:47:00Z</dcterms:created>
  <dcterms:modified xsi:type="dcterms:W3CDTF">2017-06-21T09:47:00Z</dcterms:modified>
</cp:coreProperties>
</file>